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respectfully petitions this Court to modify the existing custody order entered in Anchorage Superior Court two years ago. That order awarded Sarah Sutter primary physical custody of the parties' nine-year-old daughter, with Jacob receiving visitation every other weekend and two weeks each summer. Since entry of that order, material circumstances have changed dramatically. Jacob has secured stable, higher-paying employment with the State of Alaska in Juneau, establishing a more financially secure environment for the child. More critically, Sarah has been arrested twice for driving under the influence, including one incident in which the child was a passenger in the vehicle. These events constitute a substantial change in circumstances warranting modification of custody under Alaska law. The child's safety and best interests require that Jacob be awarded primary physical custody, with Sarah receiving supervised visitation on alternating weekends, conditioned on her completion of a court-approved substance abuse treatment program and demonstration of at least six consecutive months of sobriety.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and Sarah Sutter are the parents of one daughter, now nine years of age. Approximately two years ago, the Anchorage Superior Court entered a custody order granting Sarah primary physical custody of the child and awarding Jacob visitation every other weekend and two weeks during each summer.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that order, Jacob accepted a stable, higher-paying position with the State of Alaska and relocated to Juneau. His employment with the State provides financial security and a consistent schedule that would support the child's day-to-day needs. Jacob has maintained regular contact with his daughter and has fulfilled all obligations under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order was entered, Sarah's conduct has given rise to serious concerns about the child's safety in her care. Sarah has been arrested on two separate occasions for driving under the influence of alcohol. Of particular concern, one of those arrests occurred while the child was present in Sarah's vehicle. That incident placed the child in direct physical danger and demonstrates that Sarah's substance abuse is not merely a personal failing but an ongoing threat to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indication that Sarah has successfully completed a substance abuse treatment program or that she has attained any period of sustained sobriety. Jacob now moves the Court to modify the existing custody order to reflect the changed circumstances and to protect the child's safety and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25.20.948(a), a custody award may be modified if the court determines that a change in circumstances requires the modification and the modification is in the best interests of the child. If a parent opposes the modification and the modification is granted, the court must enter on the record its reason for the modification. The Alaska Supreme Court has recognized, consistent with the holding in Havel v. Hogan, 216 P.3d 1142 (Alaska 2009), that a moving parent must demonstrate a substantial change in circumstances to justify modification of a custody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evaluates the child's best interests under the factors set out in AS 25.24.150(c). Those factors include the physical, emotional, mental, religious, and social needs of the child under all circumstances; the capability and desire of each parent to meet those needs; the length of time the child has lived in a stable, satisfactory environment; the willingness and ability of each parent to facilitate a close and continuing relationship between the other parent and the child; any evidence of domestic violence, child abuse, or child neglect; and evidence that substance abuse by either parent directly affects the emotional or physical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history of perpetrating domestic violence is found, AS 25.24.150(g) establishes a rebuttable presumption that such a parent may not be awarded sole or joint legal or physical custody. Under AS 25.24.994, if a court finds that a parent has a history of perpetrating domestic violence, the court shall allow only supervised visitation by that parent, conditioned on participation in and successful completion of a batterers intervention program. Even absent that specific finding, Alaska courts have recognized, consistent with the holding in Kristina B. v. Edward B., 512 P.3d 294 (Alaska 2014), that a parent's substance abuse history directly informs custodial fitness and may justify limitations on unsupervised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A SUBSTANTIAL CHANGE IN CIRCUMSTANCES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under AS 25.20.110(a) is met here. Two independent and significant changes have occurred since the existing order was entered two years ago.</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Jacob has relocated to Juneau and accepted stable, higher-paying employment with the State of Alaska. This change substantially alters his financial capacity to provide for the child and his ability to offer a structured, secure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and far more critically, Sarah has been arrested twice for driving under the influence of alcohol since entry of the existing order. One of those arrests occurred while the child was in the vehicle. This is not a marginal or technical change in circumstances. It is a recurring pattern of conduct that directly endangered the child's physical safety and demonstrates that Sarah's ability to exercise safe parental judgment has materially deteriorated since the court last evaluated custody. The Alaska Supreme Court recognized in Havel v. Hogan, 216 P.3d 1142 (Alaska 2009), that both courts and parties must demonstrate that the change in circumstances is substantial; there can be little question that a parent's repeated criminal conduct for impaired driving, including one incident endangering the child, satisfies that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25.20.110(c) provides that a finding that a crime involving domestic violence has occurred since the last custody determination constitutes a finding of change in circumstances under subsection (a). While the DUI arrests as described do not constitute domestic violence as that term is typically defined, the broader principle embedded in AS 25.20.110 is that post-order criminal conduct bearing on child safety qualifies as a changed circumstance. The DUI arrest while the child was in the vehicle reflects at minimum reckless disregard for the child's physical safety, a factor the court should weigh heavily.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Jacob's improved financial and employment stability and Sarah's documented, recurring pattern of substance-related criminal conduct constitute a substantial change in circumstances warranting a full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AWARD JACOB PRIMARY PHYSICAL CUSTODY IS IN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 the court must determine custody in accordance with the child's best interests, considering the enumerated statutory factors. As set forth below, the relevant factors favor awarding primary physical custody to Jacob.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Child's Physical, Emotional, and Social Needs, and Each Parent's Capability to Meet Them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and (c)(2) require the court to examine the child's needs and each parent's capability and desire to meet those needs. A nine-year-old child requires, above all, safety and consistency. Sarah's two DUI arrests, including one with the child present in the vehicle, demonstrate a serious impairment in her capacity to ensure the child's physical safety. By contrast, Jacob's stable state employment in Juneau, his consistent compliance with the visitation schedule throughout the pendency of the existing order, and his demonstrated commitment to the child establish his capability to meet her needs. The Alaska Supreme Court recognized in Littleton v. Banks, 192 P.3d 154 (Alaska 2008), that a parent's substance abuse history is a significant factor in evaluating custodial fitness, particularly when that history is ongoing rather than resolved.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Stability of Environment and Desirability of Maintaining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While the child has resided with Sarah since the original order, that environment has become demonstrably unstable due to Sarah's repeated criminal conduct related to alcohol. Stability means more than physical continuity of residence; it encompasses freedom from danger, consistent parental supervision, and a home environment that promotes the child's development. Jacob's employment with the State of Alaska provides financial predictability and a structured home setting in Juneau. The court in Rooney v. Rooney, 914 P.2d 212 (Alaska 1996), recognized that courts must weigh the stability of each parent's proposed environment in determining which placement better serves the child's interests, particularly where one parent has demonstrated a pattern of problematic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Substance Abuse Directly Affecting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25.24.150(c)(8) expressly requires the court to consider evidence that substance abuse by either parent directly affects the emotional or physical well-being of the child. Sarah's substance abuse is not an abstract or historical concern. One of her DUI arrests occurred while the child was physically present in her vehicle. This is direct, concrete evidence that Sarah's substance abuse has endangered the child. The court in Kristina B. v. Edward B., 329 P.3d 202 (Alaska 2014), recognized that a parent's pattern of substance abuse may render that parent incapable of meeting the child's needs at the time custody is being determined, and that this incapacity justifies a custody arrangement that protects the child while creating a pathway for the affected parent to demonstrate sustained recovery. The same principle applies here. Sarah's conduct places the AS 25.24.150(c)(8) factor squarely against continuing primary custody in her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Child's Preference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25.24.150(c)(3) authorizes the court to consider the child's preference if the child is of sufficient age and capacity to form a preference. At nine years of age, the child may be capable of articulating meaningful views regarding her living situation, particularly in light of her experience during Sarah's DUI arrest while she was in the vehicle. The court may wish to speak with the child in camera or appoint a guardian ad litem to assess and represent her interests. Alaska R. Evid. 601 confirms that a person is competent to be a witness unless the court finds the proposed witness incapable of communicating concerning the matter so as to be understood, or incapable of understanding the duty to tell the truth. The child's direct observations of Sarah's conduct are relevant and potentially admissible through appropriate procedures.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Facilitation of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calls on the court to consider each parent's willingness and ability to facilitate a close and continuing relationship between the other parent and the child. Jacob's proposed custody arrangement does not seek to eliminate Sarah from the child's life. Jacob proposes that Sarah receive supervised visitation on alternating weekends, with a pathway to expanded contact tied to demonstrated sobriety and treatment completion. This approach reflects Jacob's recognition that the child benefits from a relationship with both parents, consistent with the principle expressed in AS 25.20.070, which provides that the child shall have, to the greatest degree practical, equal access to both parents during the time the court considers a custody award, unless such access is shown to be detrimental to the child's welfare. Given Sarah's documented substance abuse and the direct endangerment of the child, equal unsupervised access is currently detrimental, and the proposed visitation structure appropriately balances those concerns.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ORDER SUPERVISED VISITATION FOR SARAH UNTIL SHE COMPLETES A SUBSTANCE ABUSE TREATMENT PROGRAM AND DEMONSTRATES SIX CONSECUTIVE MONTHS OF SOBRIETY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requests that this Court order supervised visitation for Sarah on alternating weekends, conditioned on her completion of a court-approved substance abuse treatment program and demonstration of at least six consecutive months of sobriety. This relief is consistent with Alaska law and the protective purpose of the custody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25.24.150(j) provides that where a court finds a parent has a history of perpetrating domestic violence, supervised visitation shall be required, conditioned on participation in and completion of an intervention program. While Jacob does not assert that Sarah has perpetrated domestic violence as formally defined, the same protective framework reflects the legislature's recognition that a parent whose conduct endangers the child must demonstrate rehabilitation before enjoying unsupervised access. Sarah's two DUI arrests, including one with the child present, establish precisely that kind of endangering pattern.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Jaymot v. Skillings-Donat, 216 P.3d 534 (Alaska 2009), that the statutory best-interests factors require the court to account for evidence of substance abuse that directly affects the child's physical well-being. The court in Wee v. Eggener, 225 P.3d 1120 (Alaska 2010), further confirmed that supervised visitation conditioned on completion of a substance abuse treatment program is an appropriate remedy when a parent's conduct poses a danger to the child, and that unsupervised visitation requires affirmative showings of sobriety and the absence of risk of mental or physical harm to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Imposing supervised visitation now, with a defined and achievable pathway to expanded contact, protects the child while preserving Sarah's opportunity to demonstrate that she can safely parent. This measured approach reflects the structure contemplated by AS 25.24.150(c) and (j), and is consistent with the holdings in both Wee v. Eggener and Kristina B. v. Edward B., 329 P.3d 202 (Alaska 2014).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RETAINS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custody order was entered by the Anchorage Superior Court, a court of this state. Under AS 25.30.310(a), a court of this state that has made a child custody determination has exclusive, continuing jurisdiction over the determination until a court of this state determines that neither the child, the child and one parent, nor the child and a person acting as a parent have a significant connection with this state, or until a court of this state or another state determines that none of the relevant parties presently reside in this state. Jacob has relocated within Alaska to Juneau, and the child continues to reside in Alaska with Sarah in Anchorage. Both parents and the child remain in Alaska. Accordingly, this Court retains exclusive, continuing jurisdiction to modify the existing custody order. No inconvenient forum issue arises under AS 25.30.360, as all parties and relevant evidence are located within Alaska.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CHILD SUPPORT SHOULD BE RECALCULATED UPON MODIFICATION OF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grant Jacob primary physical custody, the existing child support arrangement will require modification. Under Civil Rule 90.3(a), child support in a primary custody case is calculated by multiplying the adjusted annual income of the non-custodial parent by the applicable percentage: 20 percent for one child. Should the Court determine that a shared physical custody arrangement is more appropriate, Civil Rule 90.3(b) provides the framework for calculating support under a shared custody model. Jacob requests that the Court recalculate child support in accordance with whichever applicable provision of Civil Rule 90.3 governs the custody structure the Court ultimately orders, using current verified income information from both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substantial change in circumstances has occurred since entry of the existing custody order, based on Jacob's relocation to Juneau for stable state employment and Sarah's two DUI arrests, including one in which the child was a passenger in the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Modify the existing custody order to award Jacob Sutter primary physical custody of the parties' nine-year-old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that Sarah Sutter receive supervised visitation on alternating weekends, with the supervision condition to remain in effect until Sarah completes a court-approved substance abuse treatment program and demonstrates at least six consecutive months of documented sobriety;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 a clear pathway for Sarah to petition for modification of the supervised visitation arrangement upon satisfying the above conditions;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Recalculate child support in accordance with Civil Rule 90.3(a) or Civil Rule 90.3(b), as applicable, based on the custody structure ordered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child's safety, stability, and well-being require this relief. The evidence of Sarah's recurring substance abuse, culminating in a DUI arrest with the child in the vehicle, establishes both the necessity and the urgency of the requested modification.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2026-08-16T21:44:37.710Z</dcterms:created>
  <dcterms:modified xsi:type="dcterms:W3CDTF">2026-08-16T21:44:37.710Z</dcterms:modified>
</cp:coreProperties>
</file>

<file path=docProps/custom.xml><?xml version="1.0" encoding="utf-8"?>
<Properties xmlns="http://schemas.openxmlformats.org/officeDocument/2006/custom-properties" xmlns:vt="http://schemas.openxmlformats.org/officeDocument/2006/docPropsVTypes"/>
</file>