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Whitfield respectfully moves this Court to modify the existing custody order entered in 2021, which awarded primary physical custody of the parties' minor daughter, Lily Whitfield, to Renee Whitfield, with Sarah exercising parenting time every other weekend and one evening per week. Since the entry of that order, Renee has unilaterally relocated Lily approximately 570 miles from Anchorage to Juneau, enrolled Lily in a new school without court approval or notice to Sarah, and effectively severed Lily from her established community, extended family, and educational environment. These actions constitute a substantial change in circumstances sufficient to warrant modification of the existing custody order under AS 25.20.110. A thorough analysis of the statutory best-interest factors under AS 25.24.150(c) and AS 25.20.090 demonstrates that transferring primary physical custody to Sarah, with Renee receiving parenting time during school breaks and summer vacation, is in Lily's best interests. Sarah therefore requests that this Court grant her motion to modify.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Superior Court entered a custody order in 2021 establishing shared legal custody of Lily Whitfield, born in 2016, with Renee Whitfield designated as primary physical custodian. Under that order, Sarah Whitfield exercised parenting time every other weekend and one evening per week. The order was predicated on the family's residence in Anchorage and contemplated the continuation of Lily's life in that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order, Renee accepted a permanent employment transfer to Juneau, Alaska, a city located approximately 570 miles from Anchorage. Renee thereafter enrolled Lily in a new school in Juneau without seeking court approval, without petitioning to modify the existing custody order, and without obtaining Sarah's consent. Sarah did not agree to this relocation and has not waived any rights arising from it. As a result of Renee's unilateral action, Lily has been removed from the school she attended in Anchorage, separated from her extended family members who reside in Anchorage, and distanced from the friends, teachers, and community connections she developed over the first years of her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Whitfield resides in Anchorage and is capable of providing Lily with a stable home, continuity in her existing educational environment, and regular contact with her extended family and established social network. Sarah proposes that Renee receive parenting time during Lily's school breaks and summer vacation, a schedule that would afford Renee meaningful access to Lily while preserving Lily's stability in Anchorage.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 custody or visitation award upon a determination that a change in circumstances requires modification and that the modification is in the best interests of the child. If a parent opposes the modification and the court grants it, the court must enter its reasons on the record.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evaluating the best interests of the child, the court must consider the factors enumerated in AS 25.24.150(c), including the physical, emotional, mental, religious, and social needs of the child; the capability and desire of each parent to meet those needs; the child's preference if she is of sufficient age and capacity; the love and affection existing between the child and each parent; the length of time the child has lived in a stable, satisfactory environment and the desirability of maintaining continuity under all circumstances; the willingness and ability of each parent to facilitate and encourage a close and continuing relationship between the other parent and the child; any evidence of domestic violence, child abuse, or child neglect; evidence of substance abuse that directly affects the child's well-being; and other pertinent factors.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court considers whether to award shared custody, it must additionally evaluate the factors set forth in AS 25.20.090, including the stability of the home environment each parent is likely to offer, the advantages of keeping the child in the community where she presently resides, the proximity of each parent to the child's school, the feasibility of travel between the parents, and the willingness and ability of each parent to facilitate and encourage a close and continuing relationship between the other parent and the child.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parent's unilateral relocation of a child may constitute a substantial change in circumstances justifying custody modification. Chesser-Witmer v. Chesser, 575 P.3d 332 (Alaska 2005). A significant change in the child's living situation, educational placement, and community connections can independently satisfy the change-in-circumstances threshold under AS 25.20.110(a). Yvonne S. v. Wesley H., 245 P.3d 430 (Alaska 2011). The court must then evaluate whether modification serves the child's best interests, with particular attention to continuity and stability. Pingree v. Cossette, 424 P.3d 371 (Alaska 2018). Courts further recognize that preserving a child's established educational and community ties weighs heavily in the best-interest analysis. Tompkins v. Tompkins, 961 P.2d 419 (Alaska 1998).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RENEE'S UNILATERAL RELOCATION OF LILY TO JUNEAU CONSTITUTES A SUBSTANTIAL CHANGE IN CIRCUMSTANCES UNDER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under AS 25.20.110(a) requires the moving party to demonstrate a change in circumstances that warrants modification of the existing order. Renee's decision to permanently relocate Lily from Anchorage to Juneau, approximately 570 miles away, without court approval or Sarah's consent, plainly satisfies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custody order was entered with the understanding that Lily would remain in Anchorage, where both parents resided and where Lily's educational, familial, and social life was centered. Renee's unilateral and permanent relocation fundamentally altered the circumstances on which the original order was premised. As the Alaska Supreme Court recognized in Chesser-Witmer v. Chesser, 117 P.3d 711 (Alaska 2005), a military transfer and the resulting geographic separation between parents can constitute a substantial change in circumstances warranting custody modification. The principle established in that case applies with equal force here: when a primary custodian permanently relocates a child hundreds of miles away without consent or judicial authorization, the foundational assumptions of the prior order no longer 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relocation has also produced concrete, material changes in Lily's circumstances. She has been removed from her school in Anchorage. She has been separated from her extended family members who live in the Anchorage area. She has lost daily proximity to the friends and community she built during the first years of her life. The Alaska Supreme Court has recognized that a significant deterioration in a child's stability, educational environment, and community connections can satisfy the change-in-circumstances requirement. Yvonne S. v. Wesley H., 245 P.3d 430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Renee's failure to seek court approval before enrolling Lily in a new school in Juneau is itself a circumstance the Court should weigh. The existing shared legal custody arrangement required joint decision-making, including decisions about education. Renee acted unilaterally, bypassing both the Court and Sarah. Under AS 25.20.110(a), such conduct reflects directly on Renee's willingness to abide by the terms of the existing order and to respect Sarah's legal rights as a joint legal custodian. A substantial change in circumstances exists, and this Court should proceed to the best-interest analysis.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LILY REQUIRE THAT PRIMARY PHYSICAL CUSTODY BE TRANSFERRED TO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modification is in the child's best interests. AS 25.20.110(a). The factors enumerated in AS 25.24.150(c) and AS 25.20.090 collectively support transferring primary physical custody to Sarah so that Lily may remain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Desirability of Maintaining Continuity and Stability Favors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important factors in the best-interest analysis is the length of time the child has lived in a stable, satisfactory environment and the desirability of maintaining continuity. AS 25.24.150(c)(5). Lily spent the first years of her life in Anchorage. Her schooling, her extended family relationships, and her social bonds are all rooted in that community. The Alaska Supreme Court has emphasized the importance of preserving a child's stable, established environment, particularly when one parent has disrupted that stability through unilateral relocation.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relocation has already disrupted Lily's continuity. Enrolling Lily in a new school in Juneau without consent or judicial approval severed Lily from teachers and classmates she knew. Permitting primary physical custody to remain with Renee in Juneau would entrench this disruption permanently. Transferring primary physical custody to Sarah, who remains in Anchorage, would restore the continuity and stability to which Lily is entitled.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Tompkins v. Tompkins, 961 P.2d 419 (Alaska 1998), acknowledged that children benefit from remaining near familiar surroundings, friends, and family members when one parent must relocate. That reasoning applies directly here. Lily's established connections to Anchorage, her existing school, and her extended family all favor placing primary physical custody with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Advantages of Keeping Lily in Her Home Community Favor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25.20.090(5), the court must consider the advantages of keeping the child in the community where she presently resides. Although Renee has moved Lily to Juneau, the relevant community inquiry must look to where Lily's life was actually centered at the time of the triggering events, not where the relocating parent has unilaterally transplanted the child. Allowing a primary custodian to manufacture a new "home community" by relocating without consent and then invoking that relocation to defeat a modification motion would reward precisely the conduct that the legal framework is designed to deter.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Lily's home community, for purposes of this analysis, remains Anchorage. Her extended family is there. Her prior school is there. Her friendships and social foundation were built there. Sarah's continued residence in Anchorage places her in a position to preserve all of these connections for Lily. The community-continuity factor under AS 25.20.090(5) weighs in favor of awarding primary physical custody to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Willingness and Ability to Facilitate the Other Parent's Relationship with Lily Favor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AS 25.24.150(c)(6) and AS 25.20.971(E) require the court to evaluate each parent's willingness and ability to facilitate and encourage a close and continuing relationship between the other parent and the child. Renee's unilateral relocation of Lily to Juneau, without seeking court approval and without Sarah's consent, is direct evidence that Renee is unwilling to facilitate Sarah's relationship with Lily or to honor Sarah's rights as a joint legal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Sarah proposes a parenting arrangement that affords Renee meaningful time with Lily during school breaks and summer vacation. This proposal reflects Sarah's good-faith recognition of Lily's need for a relationship with both parents and her willingness to support that relationship even from a distance of 570 miles. The Alaska Supreme Court has recognized that a parent's willingness to facilitate the other parent's contact with the child is a significant factor in the best-interest analysis. Harris v. Governale, 311 P.3d 1052 (Alaska 2013). Sarah's demonstrated willingness to support Renee's parenting time, contrasted with Renee's unilateral conduct, weighs in favor of transferring primary physical custody to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Lily's Physical, Emotional, and Social Needs Support Placement with Sarah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Lily is nine years old. Children of her age derive critical developmental support from stable peer relationships, consistent educational environments, and proximity to extended family. All of these supports are located in Anchorage, not in Juneau. Lily's extended family members who live in Anchorage provide an additional layer of emotional support that cannot be replicated in a city where neither Lily nor Renee previously resided.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child's educational and social needs, including the child's academic performance and community integration, are important considerations in the best-interest analysis. Yvonne S. v. Wesley H., 245 P.3d 430 (Alaska 2011). Lily's abrupt transfer to a new school in Juneau, without preparation or transition planning, risks disrupting her academic progress and social development. Placing primary physical custody with Sarah in Anchorage would permit Lily to return to her prior school, reconnect with her classmates and teachers, and resume the social and educational trajectory that Renee's unilateral move interrupted.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Proposed Parenting Schedule Is Just and Workable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proposes that Renee receive parenting time during school breaks and summer vacation. This schedule affords Renee substantial, meaningful time with Lily while prioritizing Lily's educational continuity and community stability. Courts have approved analogous school-year and summer arrangements in cases where geography makes a more frequent exchange schedule impractical. Tompkins v. Tompkins, 961 P.2d 419 (Alaska 1998). The proposed schedule recognizes the 570-mile distance between Anchorage and Juneau, avoids imposing excessive travel on a nine-year-old child, and ensures that Lily benefits from extended, quality time with Renee during vacation periods.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unless it is shown to be detrimental to the welfare of the child or the domestic violence presumption under AS 25.24.150(g) is present, the child shall have, to the greatest degree practical, equal access to both parents. The proposed schedule honors this principle by maximizing Renee's parenting time during available vacation periods given the geographic constraints that Renee's own relocation created.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THIS COURT RETAINS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entered the original 2021 custody order and retains exclusive, continuing jurisdiction over custody determinations affecting Lily under AS 25.30.310(a), as Lily, Renee, and Sarah all have or have had significant connections with Alaska and substantial evidence concerning Lily's care, protection, training, and personal relationships remains available in this state. Neither parent has relocated outside Alaska, and both Anchorage and Juneau are Alaska communities. This Court therefore has full authority to consider Sarah's motion to modify and to enter a modified custody order consistent with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Whitfield's unilateral relocation of Lily to Juneau without court approval or Sarah's consent constitutes a substantial change in circumstances under AS 25.20.110(a). An analysis of the best-interest factors under AS 25.24.150(c) and AS 25.20.090 demonstrates that transferring primary physical custody to Sarah Whitfield, with Renee receiving parenting time during school breaks and summer vacation, is in Lily's best interests. Such a modification would restore Lily's educational continuity, preserve her community and family connections in Anchorage, and reward the parent who has demonstrated the greater willingness to facilitate a meaningful relationship between Lily and both of her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Sarah Whitfield respectfully requests that this Court grant her motion to modify the existing custody order, transfer primary physical custody of Lily Whitfield to Sarah Whitfield, and award Renee Whitfield parenting time during school breaks and summer vacation, together with such other relief as the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2026-08-16T21:51:46.786Z</dcterms:created>
  <dcterms:modified xsi:type="dcterms:W3CDTF">2026-08-16T21:51:46.786Z</dcterms:modified>
</cp:coreProperties>
</file>

<file path=docProps/custom.xml><?xml version="1.0" encoding="utf-8"?>
<Properties xmlns="http://schemas.openxmlformats.org/officeDocument/2006/custom-properties" xmlns:vt="http://schemas.openxmlformats.org/officeDocument/2006/docPropsVTypes"/>
</file>