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respectfully petitions this Court to modify the existing custody and visitation order entered in 2021 to reflect a long-distance parenting plan necessitated by her relocation from Anchorage to Fairbanks, Alaska. The current order awards Elena primary physical custody of the parties' two minor children, ages seven and nine, with Colin Bergstrom receiving visitation every other weekend and two weeks during the summer. Elena's acceptance of a permanent employment position in Fairbanks, approximately 360 miles from Colin's Anchorage residence, renders the existing every-other-weekend visitation schedule logistically impractical and financially burdensome for both parties. Elena proposes a modified plan under which the children continue to reside primarily with her during the school year, with Colin receiving extended visitation during winter break, spring break, and the full summer, supplemented by weekly video contact to preserve the children's close relationship with their father. This modification serves the best interests of the children and is supported by the substantial change in circumstances created by Elena's relocation.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Colin Bergstrom dissolved their marriage in 2021. Pursuant to the Superior Court's order entered at that time, Elena holds primary physical custody of the parties' two minor children, currently ages seven and nine. Colin exercises visitation on alternating weekends and for two weeks during the summer months. The parties have generally complied with the terms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custody order, Elena was offered and accepted a permanent employment position based in Fairbanks, Alaska. This position represents a stable and long-term professional opportunity that she has accepted in good faith. Fairbanks is located approximately 360 miles from Anchorage, where Colin resides. The distance between the two cities makes the existing every-other-weekend schedule physically and financially impractical: round-trip travel of approximately 720 miles every two weeks imposes substantial costs and time demands on both parties and disrupts the children's school schedules, extracurricular activities, and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seek to diminish Colin's relationship with the children. To the contrary, she proposes a parenting plan that preserves and, in terms of extended consecutive time, increases Colin's contact with the children. Under the proposed plan, Colin would receive the children for the entirety of winter break, spring break, and the full summer. Weekly video calls would be scheduled to ensure consistent contact between Colin and the children throughout the school year. This arrangement reflects Elena's good-faith effort to maintain the children's bond with both parents while acknowledging the geographic reality created by her relocation.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existing custody or visitation award if two conditions are satisfied: first, the court must determine that a change in circumstances has occurred; and second, the court must find that the requested modification is in the best interests of the child. If a parent opposes the modification and the court grants it, the court must enter its reasons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analysis is governed by AS 25.24.959, which directs the court to consider a non-exhaustive list of factors including, among others,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physical custody is contemplated or at issue, the additional factors enumerated in AS 25.20.090 also inform the court's analysis, including the stability of the home environment likely to be offered by each parent, the advantages of keeping the child in the community where the child presently resides, and the optimal time for the child to spend with each parent, including the proximity of each parent to the other and the feasibility of travel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parent's relocation constitutes a material change in circumstances sufficient to trigger a best-interests hearing. Barrett v. Alguire, 35 P.3d 1 (Alaska 2001). Similarly, Nelson v. Nelson, 263 P.3d 49 (Alaska 2011) recognized that the change-in-circumstances analysis must be evaluated relative to the conditions existing at the time of the prior custody order. Hope P. v. Flynn G., 355 P.3d 559 (Alaska 2015) reinforced that a substantial change in circumstances, including a change in a parent's work situation or logistical circumstances, may justify modification of an existing custody arrangement. The Alaska Supreme Court has further held that a parent's relocation making a prior schedule unworkable satisfies the change-of-circumstances threshold. Tompkins v. Tompkins, 961 P.2d 419 (Alaska 1998). McLane v. Paul, 189 P.3d 1039 (Alaska 2008) also confirms that the change-in-circumstances inquiry must precede the best-interests analysis, and that once a qualifying change is established, the court proceeds to a full best-interests evaluation.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ELENA'S RELOCATION TO FAIRBANKS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satisfied here. Elena's permanent relocation from Anchorage to Fairbanks, a distance of approximately 360 miles, represents a material and substantial change in circumstances that was not anticipated by the 2021 custody order and that directly affects the workability of the existing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Barrett v. Alguire, 35 P.3d 1 (Alaska 2001), that one parent's relocation constitutes a material change of circumstances warranting a hearing on modification of custody. That principle applies directly to the facts presented here. The current order contemplates alternating weekend visitation, a schedule that presupposes both parents reside in relatively close geographic proximity. Elena's move to Fairbanks eliminates that proximity and makes the every-other-weekend schedule both logistically and financially unrealistic. Round-trip travel of approximately 720 miles every two weeks would impose significant costs, consume substantial time, and repeatedly disrupt the children's schooling and weekly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Nelson v. Nelson, 263 P.3d 49 (Alaska 2011) instructs that the change-in-circumstances inquiry must be measured against the conditions existing at the time of the prior order. At the time of the 2021 order, both parents resided in or near Anchorage, making the alternating-weekend schedule workable. Elena's subsequent, permanent relocation to Fairbanks represents precisely the type of post-order factual development that the change-of-circumstances requirement is designed to address. Unlike the situation in Nelson, where the parties had expressly anticipated and planned for relocation in their agreement, no such anticipatory provision exists in the parties'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Hope P. v. Flynn G., 355 P.3d 559 (Alaska 2015) further supports this conclusion. In that case, the Alaska Supreme Court recognized that changes in a parent's employment and the resulting logistical difficulties can rise to the level of a substantial change in circumstances. Elena's acceptance of a permanent position in Fairbanks is not a temporary or speculative change; it is a permanent, material alteration of the circumstances under which the 2021 order was crafted. Accordingly, this Court should find that Elena has satisfied the change-of-circumstances threshold and should proceed to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MODIFICATION IS IN THE BEST INTERESTS OF THE CHILDREN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change-in-circumstances threshold is met, the court's focus turns to whether the requested modification serves the best interests of the children. AS 25.24.150(c) sets forth the factors the court must consider. Each factor, evaluated in light of the circumstances presented, supports Elena's proposed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Religious, and Social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proposed plan ensures that the children's needs are met through continuity of their primary care relationship with their mother, who has served as their primary custodian since 2021. The children, ages seven and nine, are in their formative school years. Stability of residence, schooling, and routine is critical to their healthy development. Elena's plan maintains that stability by keeping the children in a consistent school environment in Fairbanks during the academic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has demonstrated her commitment to meeting the children's needs throughout the period of the existing order. Her acceptance of stable, permanent employment reflects sound parenting judgment and the capacity to provide financial security for the children. Nothing in the record suggests any deficiency in Colin's parenting ability. The proposed plan does not seek to diminish Colin's role; it proposes extended, meaningful contact during all major school breaks and the full summer, as well as weekly video calls.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Length of Time the Children Have Lived in a Stable, Satisfactory Environment and the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The children have resided primarily with Elena for the duration of the 2021 order. Disrupting that primary custody relationship would itself undermine continuity. Elena's plan preserves this continuity by maintaining her role as the primary residential parent while providing Colin with substantial, predictable extended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reasoning in Tompkins v. Tompkins, 961 P.2d 419 (Alaska 1998) is instructive. In Tompkins, the court recognized that when a parent's circumstances make the continuation of an existing custody schedule impractical, the court must craft an arrangement that serves the children's interests rather than mechanically adhering to a schedule that no longer functions. Here, the every-other-weekend schedule simply cannot function given the 360-mile separation between the parties' residences.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each parent's willingness and ability to facilitate and encourage a close and continuing relationship between the other parent and the child. Elena's proposed plan affirmatively demonstrates this willingness. Rather than seeking to reduce Colin's involvement, she proposes expanded blocks of time, including winter break, spring break, and the full summer, and weekly video contact. This proposal reflects a genuine effort to honor and support the children's relationship with their father despite the geographic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Bb v. Dd, 18 P.3d 1210 (Alaska 2001) underscores the importance of maintaining meaningful contact between children and both parents. A long-distance parenting plan that includes extended summer and holiday visitation, combined with regular electronic contact, is a recognized and appropriate means of preserving that bond when geographic distance makes frequent short visits impractical.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Feasibility of Travel and the Proximity of Each Parent to the 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25.20.090(6)(B) and (C) direct the court to consider the proximity of each parent to the other and the feasibility of travel between them. A 360-mile separation between Anchorage and Fairbanks renders weekly or biweekly travel neither feasible nor financially sustainable for either parent over the long term. The proposed plan, which concentrates Colin's visitation into meaningful extended periods, is a practical and child-centered response to this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Child Support Implications of the Modified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proposed modification affects the allocation of physical custody time, the court should recalculate child support in accordance with Civil Rule 90.3(a), which governs support in primary physical custody arrangements, or Civil Rule 90.3(b), should the resulting time allocation qualify as shared physical custody. Under Civil Rule 90.3(a), the non-custodial parent's adjusted annual income is multiplied by the applicable percentage, which is 27% for two children, to determine the baseline support obligation. The court may also consider whether Civil Rule 90.3(c) warrants any variation from the guideline amount upon proof by clear and convincing evidence that manifest injustice would result, though Elena does not presently seek such a variation. The court should note that Civil Rule 90.3(a)(3) permits the court to allow the obligor parent to reduce child support payments by up to 75% for any period in which the obligor parent has extended visitation of over 27 consecutive days. Because Colin's proposed summer visitation would extend well beyond 27 consecutive days, his support obligation during those summer months may be subject to a reduction as provided under that provision, and the court should address this in any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LONG-DISTANCE PARENTING PLAN IS CONSISTENT WITH ALASKA LAW AND SERVES THE CHILDREN'S OVERALL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parenting plan proposed by Elena is consistent with Alaska law and with the best-interests framework as interpreted by the Alaska Supreme Court. The plan does not seek to eliminate Colin's parental role; it seeks to reframe it in a manner that is geographically and financially realistic. Extended summer visitation, holiday contact, and weekly video calls are meaningful, substantive forms of parental involvement that preserve the parent-child relationship in a manner appropriate to the parties' geographic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McLane v. Paul, 189 P.3d 1039 (Alaska 2008) confirmed that modification analysis requires a sequential inquiry: a change in circumstances must be established before the court reaches the best-interests question, and once that threshold is crossed, the court must conduct a full evaluation of the child's best interests. Elena satisfies both steps. The change in circumstances is evident and substantial. The best-interests factors, analyzed under AS 25.24.150(c) and AS 25.20.090, support the proposed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 instructs the court to consider all factors that bear on the child's well-being, and AS 25.24.983 states that the court may consider only those facts that directly affect the well-being of the child. Every element of Elena's proposed plan, primary residence during the school year for stability and educational continuity, extended contact with Colin during breaks and summer for meaningful relationship maintenance, and weekly video calls for ongoing communication, is directly tailored to promote the well-being of these two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Bergstrom respectfully requests that this Court find that her relocation to Fairbanks constitutes a substantial change in circumstances under AS 25.20.110(a), determine that the proposed long-distance parenting plan is in the best interests of the children under AS 25.24.150(c), and enter a modified custody and visitation order providing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 shall reside primarily with Elena in Fairbanks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Colin shall exercise extended visitation during winter break, spring break, and the full summer;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parties shall facilitate weekly video contact between Colin and the children during the school year, consistent with the children's schedules;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child support shall be recalculated in accordance with Civil Rule 90.3(a) and Civil Rule 90.3(b), as applicable, with appropriate credit for Colin's extended summer visitation as provided under Civil Rule 90.3(a)(3).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modification promotes the stability, continuity, and well-being of the children while preserving a meaningful and ongoing relationship between the children and their father. The proposed plan reflects both parents' legitimate interests and, above all, the best interests of the children, which remain the paramount consideration under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2026-08-16T21:53:03.419Z</dcterms:created>
  <dcterms:modified xsi:type="dcterms:W3CDTF">2026-08-16T21:53:03.419Z</dcterms:modified>
</cp:coreProperties>
</file>

<file path=docProps/custom.xml><?xml version="1.0" encoding="utf-8"?>
<Properties xmlns="http://schemas.openxmlformats.org/officeDocument/2006/custom-properties" xmlns:vt="http://schemas.openxmlformats.org/officeDocument/2006/docPropsVTypes"/>
</file>