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(doc-0094)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Larsen respectfully moves this Court to modify the existing child custody order entered in 2021, which currently awards primary physical custody of the parties' two minor children to Brandon Larsen. Since that order was entered, circumstances affecting the children's welfare have changed substantially. Brandon has subjected the children to chronic housing instability, moving them between three different residences and enrolling them in four different schools over the past eighteen months. Jacob, by contrast, has relocated to Anchorage, obtained stable full-time employment as a licensed electrician, and completed a court-ordered parenting class. The children's need for stability, continuity of schooling, and a settled home environment compels modification of the existing order. Jacob requests that this Court award him primary physical custody, with Brandon receiving reasonable and scheduled visitation rights.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Larsen and Brandon Larsen were divorced in 2021. The Superior Court at that time entered an order awarding Brandon primary physical custody of the parties' two minor children. Jacob received alternating weekend visitation and two weeks of summer visitation per year. That custody arrangement has governed the parties' parenting relationship since the order was entered.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2021 order, Jacob took meaningful steps to improve his circumstances and his ability to parent. He relocated from Fairbanks to Anchorage, which provides access to greater employment opportunities, educational resources, and support services. He secured stable, full-time employment as a licensed electrician. He also completed a court-ordered parenting class, demonstrating his commitment to responsible, attentive parenting.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circumstances have moved in the opposite direction. Over the eighteen months preceding this motion, Brandon has moved the children between three different residential addresses. Each relocation has disrupted the children's routines, friendships, and sense of security. More critically, the children have been enrolled in four different schools during that same eighteen-month period. These repeated school changes have interrupted the children's academic progress, severed peer relationships, and deprived them of the continuity necessary for healthy development. At no point during this period did Brandon seek court approval for these disruptions or provide Jacob with timely notice of the children's changing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current custody arrangement no longer serves the children's best interests. The instability Brandon has created stands in direct contrast to the stable home environment Jacob is now prepared to provide.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25.20.110(a), a custody order may be modified when the court determines that a change in circumstances requires the modification and the modification is in the best interests of the child. The parent seeking modification bears the burden of establishing a substantial change in circumstances as a threshold matter. Long v. Long, 816 P.2d 145 (Alaska 1991). Only after the moving party satisfies that threshold showing does the court proceed to examine whether the requested modification serves the child's best interests. 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change-in-circumstances requirement exists to discourage repeated relitigation of custody disputes and to protect children from repeated disruptions to their living arrangements. Laramie Rainer v. Ryan Poole, 510 P.3d 476 (Alaska 2022); Nelson v. Nelson, 263 P.3d 49 (Alaska 2011). However, where genuine and substantial changes have occurred that meaningfully affect a child's welfare, the threshold is met and a best-interests analysis is warranted. Laramie Rainer v. Ryan Poole, 510 P.3d 476 (Alaska 2022).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assessing the best interests of the child, the court considers the factors enumerated in AS 25.24.150(c), including the physical, emotional, mental, and social needs of the child; each parent's capability and desire to meet those needs; the length of time the child has lived in a stable and satisfactory environment and the desirability of maintaining continuity; and the willingness of each parent to facilitate a close and continuing relationship between the child and the other parent. Where shared custody is at issue, the court additionally considers the factors listed in AS 25.20.090, including the stability of the home environment likely to be offered by each parent and the advantages of keeping the child in the community where the child presently resides.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SUBSTANTIAL CHANGE IN CIRCUMSTANCES HAS OCCURRED SINCE THE 2021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satisfies the threshold requirement of demonstrating a substantial change in circumstances. The relevant inquiry compares current conditions to those that existed at the time of the prior custody order. Laramie Rainer v. Ryan Poole, 510 P.3d 476 (Alaska 2022); Nelson v. Nelson, 263 P.3d 49 (Alaska 2011). Here, conditions affecting the children's welfare have changed dramatically on both sides of the parenting equation.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2021 order was entered, Brandon has moved the children between three different residences and enrolled them in four different schools within an eighteen-month period. Courts have recognized that a custodial parent's actions that substantially disrupt the children's stability and routine are sufficient to constitute a change of circumstances. See Laramie Rainer v. Ryan Poole, 510 P.3d 476 (Alaska 2022). The frequency and severity of Brandon's relocations far exceed ordinary variation in a custodial parent's circumstances. Each move has required the children to adjust to new housing, new neighborhoods, new schools, new teachers, and new classmates. Four school changes in eighteen months is not a minor disruption: it is a pattern that measurably harms the children's educational continuity and social development.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 parent's relocation and improved circumstances since the prior order are relevant factors. Barrett v. Alguire, 35 P.3d 1 (Alaska 2001). Jacob has relocated from Fairbanks to Anchorage, secured stable employment, and completed a court-ordered parenting class. These changes, combined with the deterioration of stability in Brandon's household, collectively constitute a substantial change in circumstances under AS 25.20.110(a).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Jacob has met the threshold requirement, the Court must proceed to evaluate whether modification of the custody order serves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MODIFICATION OF THE CUSTODY ORDER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substantial change in circumstances is established, the court evaluates the best interests of the child under AS 25.24.150(c). The burden of demonstrating that changed circumstances, considered together with other relevant facts, warrant modification remains with the moving party. Long v. Long, 816 P.2d 145 (Alaska 1991). Jacob satisfies that burden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Emotional, and Social Needs Favor Stability, Which Jacob Can Provide.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25.24.150(c)(1), the court considers the physical, emotional, mental, religious, and social needs of the child. Children require consistency in their living arrangements and schooling to develop academically and emotionally. Four school changes in eighteen months directly undermine those needs. The children have been prevented from building lasting peer relationships, developing academic continuity with teachers who know them, and benefiting from the predictability that healthy child development requires.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Jacob's Anchorage residence offers the children a settled, stable home. His full-time employment as a licensed electrician provides financial security. His completion of a court-ordered parenting class reflects his commitment to responsive, informed parenting. Awarding Jacob primary physical custody would provide the children with the consistent environment their emotional and educational needs demand.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Desirability of Maintaining Continuity Favors Jacob.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25.24.150(c)(5), the court considers the length of time the child has lived in a stable, satisfactory environment and the desirability of maintaining continuity. Brandon's repeated relocations have deprived the children of continuity in housing and schooling alike. There is no stable baseline environment in Brandon's household to preserve. Courts in Alaska have consistently emphasized that stability of environment is a paramount consideration in custody decisions. Tompkins v. Tompkins, 961 P.2d 419 (Alaska 1998); Deininger v. Deininger, 835 P.2d 449 (Alaska 1992).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By contrast, Jacob now offers a settled household in Anchorage. Awarding him primary custody would create a new baseline of continuity and stability for the children, rather than perpetuating the disruption they have already endured.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Each Parent's Capability and Desire to Meet the Children's Needs Favors Jacob.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considers the capability and desire of each parent to meet the children's needs. Jacob has demonstrated both the capability and the desire to provide a stable, nurturing environment. He has maintained consistent employment, completed his parenting class, and taken steps to prepare for expanded parenting responsibilities. Brandon's housing instability and repeated school enrollments suggest that, whatever his desire to parent well, he has not demonstrated the capability to provide the children with the stable environment they need at this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Stability of the Home Environment Under AS 25.20.090 Supports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evaluating whether shared or modified custody arrangements are appropriate, AS 25.20.090(3) directs the court to consider the stability of the home environment likely to be offered by each parent. That factor weighs decisively in Jacob's favor. Brandon has moved three times in eighteen months. Jacob maintains a stable Anchorage residence. The record could not more clearly support the conclusion that Jacob's home offers the children a more stable environment going forward.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 Graduated Transition Can Protect the Children's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find it appropriate to implement modified custody on a gradual basis, Alaska courts have expressly approved of phased custody transitions designed to allow children to adjust while protecting their best interests. Deininger v. Deininger, 835 P.2d 449 (Alaska 1992). Jacob does not oppose a transitional schedule, provided the children are moved to his primary care within a reasonable and defined period. Any transitional order should include specific visitation provisions for Brandon to ensure the children maintain a meaningful relationship with both parents, consistent with AS 25.24.150(c)(6).</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CHILD SUPPORT MUST BE RECALCULATED TO REFLECT THE MODIFIED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grants Jacob primary physical custody, the existing child support order must be modified to reflect the new arrangement. Under Civil Rule 90.3(a), child support in a primary physical custody case is calculated by multiplying the non-custodial parent's adjusted annual income by the applicable percentage based on the number of children. With two children, that percentage is 27 percent of the non-custodial parent's adjusted annual income. Under Civil Rule 90.3(h)(1), "a final child support award may be modified upon a showing of a material change of circumstances as provided by state law" and a modification that results in a support figure more than 15 percent greater or less than the existing order is presumed to be a material change of circumstances. Because a change in primary custody necessarily changes which parent is the obligor, modification of child support is required. Jacob requests that the Court order the parties to submit current income documentation and enter a revised support order in accordance with Civil Rule 90.3(a).</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record establishes a substantial change in circumstances since the entry of the 2021 custody order. Brandon's repeated relocations and the children's enrollment in four different schools within eighteen months have created exactly the kind of destabilizing conditions that Alaska law recognizes as a basis for custody modification under AS 25.20.110(a). Jacob has simultaneously demonstrated measurable improvements in his stability, employment, and parenting preparation. The best interests of the children, evaluated under the factors of AS 25.24.150(c) and AS 25.20.090, support awarding Jacob primary physical custody, with Brandon receiving reasonable and scheduled visitation rights.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Larsen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Find that a substantial change in circumstances has occurred since the entry of the 2021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Modify the custody order to award Jacob Larsen primary physical custody of the parties'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Award Brandon Larsen reasonable and scheduled visitation rights consistent with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Order recalculation of child support in accordance with Civil Rule 90.3(a);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Grant such other and further relief as the Court deems just and proper.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2026-08-16T21:54:07.651Z</dcterms:created>
  <dcterms:modified xsi:type="dcterms:W3CDTF">2026-08-16T21:54:07.651Z</dcterms:modified>
</cp:coreProperties>
</file>

<file path=docProps/custom.xml><?xml version="1.0" encoding="utf-8"?>
<Properties xmlns="http://schemas.openxmlformats.org/officeDocument/2006/custom-properties" xmlns:vt="http://schemas.openxmlformats.org/officeDocument/2006/docPropsVTypes"/>
</file>