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(doc-0096)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Bergstrom ("Jacob") respectfully petitions this Court to modify the existing child custody and visitation order entered in 2021. The current order granted Colin Bergstrom ("Colin") primary physical custody of the parties' two minor children, currently ages 8 and 11, with Jacob receiving visitation every other weekend and one evening per week. Colin's unilateral decision to permanently relocate approximately 600 miles from Fairbanks to Juneau has rendered the existing visitation schedule functionally impossible for Jacob to exercise on a teacher's salary. Jacob seeks a modified long-distance parenting plan providing no less than 90 days of visitation per year concentrated in school breaks and summer months, along with a provision requiring Colin to share transportation costs given that his own relocation created the financial barrier Jacob now faces. The requested modification serves the children's best interests by preserving and strengthening their relationship with their father, satisfying Alaska's requirement of a change in circumstances, and providing a realistic and sustainable parenting structure for a family now living 600 miles apart.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Bergstrom and Colin Bergstrom were divorced in 2021. The Superior Court's existing order awarded Colin primary physical custody of their two children, currently ages 8 and 11. Under that order, Jacob received visitation every other weekend and one evening per week. When the order was entered, both parents resided in Fairbanks, and the schedule was logistically feasible.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the entry of the order, Colin accepted a permanent employment transfer and relocated with the children to Juneau, Alaska, approximately 600 miles from Jacob's residence in Fairbanks. Colin made this relocation decision unilaterally without seeking modification of the custody order or obtaining Jacob's agreement. The current visitation schedule contemplates frequent, short-term exchanges that are only practical when both parents live in the same community. Round-trip travel between Fairbanks and Juneau requires either a multi-leg flight at significant cost or an impractical combination of ferry and road travel. Jacob works as a public school teacher and does not have the financial means to travel to Juneau every other weekend or to fund weekly evening visits across a 600-mile distance.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direct consequence of the relocation, Jacob has been unable to exercise his court-ordered visitation in the manner originally contemplated. The children have been deprived of consistent, meaningful contact with their father. Jacob now seeks a modified parenting plan concentrating his parenting time in larger blocks during school breaks and summer vacation, totaling no less than 90 days per year, a schedule that is both financially realistic and developmentally appropriate for children of their ages. Jacob further requests that the Court allocate reasonable travel expenses between the parties, recognizing that Colin's voluntary and unilateral relocation created the transportation burden Jacob now bears.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custody or visitation order may be modified when the court determines that a change in circumstances has occurred and that the modification is in the best interests of the child. AS 25.20.972. Under that provision, if a parent opposes the modification and the court grants it, the court shall enter on the record its reason for the modification. The Alaska Supreme Court has confirmed that the change-in-circumstances inquiry is a threshold requirement: a court facing a motion to modify custody must first determine whether a substantial change in circumstances has occurred, and only if it makes that finding does it proceed to consider whether the modification serves the child's best interests. McLane v. Paul, 189 P.3d 1039 (Alaska 2008).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the threshold of changed circumstances is met, the court evaluates best interests by reference to the factors enumerated in AS 25.24.150(c). Those factors include the physical, emotional, mental, religious, and social needs of the child; the capability and desire of each parent to meet those needs; the length of time the child has lived in a stable, satisfactory environment and the desirability of maintaining continuity; the willingness and ability of each parent to facilitate and encourage a close and continuing relationship between the other parent and the child; and any other factors the court considers pertinent.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shared or extended custody arrangements are under consideration, the court also examines the factors set forth in AS 25.20.090, including the optimal time for the child to spend with each parent, the proximity of each parent to the other, the feasibility of travel between the parents, and the willingness and ability of each parent to facilitate and encourage a close and continuing relationship between the other parent and the child. AS 25.20.090(6)(B), (C), and (E).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After determining an award of child support, the court shall allocate reasonable travel expenses which are necessary to exercise visitation between the parties as may be just and proper for them to contribute. Civil Rule 958(g). The Alaska Supreme Court has held that allocating visitation travel expenses before making a child support award is procedural error requiring remand. Harris v. Governale, 311 P.3d 1052 (Alaska 2013).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COLIN'S PERMANENT RELOCATION OF THE CHILDREN 600 MILES FROM JACOB'S RESIDENCE CONSTITUTES A SUBSTANTIAL CHANGE IN CIRCUMSTANCES WARRANTING MODIFICATION OF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modification of a custody or visitation order is a showing of changed circumstances. AS 25.20.110(a). Alaska courts have consistently recognized that a parent's permanent relocation of the children a significant geographic distance from the other parent constitutes a material change in circumstances. Barrett v. Alguire, 35 P.3d 1 (Alaska 2001). In Barrett, the Alaska Supreme Court affirmed that a custodial parent's move to a distant state following entry of the existing custody order was a material change in circumstances justifying a full hearing on modification. The same principle applies with equal force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the 2021 order was entered, both parents lived in Fairbanks. The visitation schedule of every-other-weekend and one evening per week was crafted for a situation in which the parents lived in the same community and exchanges were logistically straightforward. Colin's subsequent permanent relocation to Juneau, approximately 600 miles away, has made that schedule entirely impossible to maintain. The distance requires air travel at a cost Jacob cannot sustain on a teacher's salary. The evening visits are effectively eliminated as a practical matter, because round-trip travel of 600 miles for a single evening is neither financially feasible nor in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change here is not temporary or speculative. Colin has accepted a permanent employment transfer. The children are enrolled in school in Juneau. This is precisely the type of durable, material change in the factual circumstances underlying the original order that AS 25.20.110(a) was designed to address. The Court should find that the threshold of changed circumstances has been met and proceed to the best-interests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TO A LONG-DISTANCE PARENTING PLAN PROVIDING NO LESS THAN 90 DAYS OF ANNUAL VISITATION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changed circumstances are established, the court must determine whether the proposed modification serves the best interests of the children. AS 25.20.110(a). The relevant factors are those listed in AS 25.24.150(c). Each factor supports the modification Jacob proposes.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Children's Physical, Emotional, and Social Needs Require Continued Meaningful Contact with Jacob.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 are ages 8 and 11. Children of these ages require stable, consistent relationships with both of their parents for healthy emotional development. The current visitation schedule, designed for proximity, has become an arrangement that provides Jacob with little to no practical visitation due to the geographic barrier. The 90-day plan Jacob proposes concentrates parenting time in school breaks, winter vacation, spring break, and summer months, providing extended, meaningful blocks of time that research and common sense confirm are beneficial for children separated from a parent by significant distance. Modifying the order to reflect the current geographic reality directly serves the children's physical, emotional, and social needs under AS 25.24.150(c)(1).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Jacob Has the Capability and Desire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has consistently demonstrated his commitment to the children. His inability to maintain the existing visitation schedule is not a reflection of disinterest but of financial reality imposed by Colin's relocation decision. A parenting plan that replaces frequent short visits with concentrated extended visits during school breaks allows Jacob to fully meet the children's needs during his parenting time. AS 25.24.150(c)(2).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Continuity and Stability Are Best Served by a Modified Plan that Preserves the Father-Child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desirability of maintaining continuity under AS 25.24.150(c)(5) cuts in favor of modification here. The relationship Jacob has with the children is itself a form of continuity that the current schedule, rendered inoperable by distance, is failing to preserve. A modified long-distance plan that guarantees no fewer than 90 days of annual parenting time maintains the bond between Jacob and his children and preserves continuity in that relationship, even as the children remain primarily settled in Juneau.</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Colin's Willingness to Facilitate the Father-Child Relationship is Called into Question by the Unilateral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Among the best-interests factors the court must consider is "the willingness and ability of each parent to facilitate and encourage a close and continuing relationship between the other parent and the child." AS 25.24.150(c)(6). Colin's decision to accept a permanent transfer and relocate the children 600 miles away without seeking a modified parenting plan, without Jacob's agreement, and without addressing the financial and logistical consequences for Jacob's visitation rights raises serious questions about Colin's willingness to facilitate Jacob's relationship with the children. The Court should weigh this factor carefully and include in any modified order express provisions requiring both parents to facilitate contact and cooperation.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Factors Under AS 25.20.090 Further Support Extended Visitation.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Jacob's request contemplates extended and potentially shared parenting time during school breaks and summers, the factors in AS 25.20.090 are also relevant. The Court should consider the proximity of the parents to each other and the feasibility of travel between them. AS 25.20.090(6)(B) and (C). A 600-mile distance makes weekly exchanges impossible, but extended summer and school-break visits are logistically feasible and educationally appropriate. The Court should also consider the willingness and ability of each parent to facilitate the other's relationship with the children. AS 25.20.090(6)(E). A parenting plan of no less than 90 days annually, concentrated in blocks that avoid school-year disruption, satisfies these factors and serves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Tompkins v. Tompkins, 749 P.2d 790 (Alaska 1998), is instructive. In that case, when the geographic circumstances of the family changed due to military transfer, the court recognized that the school-year-and-summer structure is an appropriate and workable arrangement for children whose parents live far apart. The same framework applies here. Jacob does not seek to upend the children's primary residential stability in Juneau; he seeks a realistic and enforceable plan that preserves his role as an active, present parent during the periods when travel is feasible.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Similarly, in Sheffield v. Sheffield, 265 P.3d 332 (Alaska 2011), the Alaska Supreme Court recognized that when a parent's relocation disrupts an existing parenting arrangement, the modification process must account for the new geographic reality. The lesson from Sheffield is that courts must adapt custody and visitation structures to the circumstances as they actually exist, not as they existed when the original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ALLOCATE REASONABLE TRANSPORTATION COSTS BETWEEN THE PARTIES, WITH COLIN REQUIRED TO CONTRIBUTE A MEANINGFUL SHARE GIVEN THAT HIS UNILATERAL RELOCATION CREATED THE TRANSPORTATION BURDEN.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90.3(g) provides that after determining an award of child support under the rule, the court shall allocate reasonable travel expenses which are necessary to exercise visitation between the parties as may be just and proper for them to contribute. The Alaska Supreme Court confirmed in Harris v. Governale, 311 P.3d 1052 (Alaska 2013), that the allocation of visitation travel expenses must follow, not precede, the determination of child support, and that failure to follow this sequence is procedural error requiring remand.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respectfully requests that the Court, after making a child support determination under Civil Rule 90.3(a), allocate transportation expenses in a manner that acknowledges the equities of this situation. Colin chose, unilaterally and permanently, to move the children 600 miles from Jacob. That decision created the travel expense that now threatens Jacob's ability to exercise any meaningful visitation. Jacob earns a teacher's salary, which is a matter of public record and fixed in range. The financial burden of round-trip air travel between Fairbanks and Juneau for two children multiple times per year falls squarely within the zone of costs that Civil Rule 90.3(g) directs the court to address equitably.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just allocation would require Colin to contribute a proportionate share of the documented, reasonable transportation costs necessary for the children to travel between Fairbanks and Juneau for Jacob's visitation periods. The Court should consider the disparity in financial resources between the parties, the fact that Colin's voluntary decision created the expense, and the overriding goal of ensuring that financial barriers do not deprive the children of their relationship with Jacob. AS 25.30.390(d) further recognizes that a court may require a party to pay reasonable and necessary travel and other expenses associated with participation in custody proceedings and related contact, confirming the Court's broad authority to address the financial consequences of geographic separation in custody matters.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Jacob Bergstrom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Colin Bergstrom's permanent relocation of the children from Fairbanks to Juneau constitutes a substantial change in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Find that modification of the existing custody and visitation order is in the best interests of the children under AS 25.24.150(c) and AS 25.20.090;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Enter a modified parenting plan providing Jacob with no less than 90 days of annual visitation concentrated in school breaks, winter vacation, spring break, and the summer months;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After making a child support determination in accordance with Civil Rule 90.3(a), allocate reasonable transportation costs between the parties pursuant to Civil Rule 90.3(g), requiring Colin to contribute a proportionate share of the costs of transporting the children between Fairbanks and Juneau for Jacob's visitation periods;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Enter such other and further relief as the Court deems just and proper in the best interests of the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2026-08-16T21:57:50.782Z</dcterms:created>
  <dcterms:modified xsi:type="dcterms:W3CDTF">2026-08-16T21:57:50.782Z</dcterms:modified>
</cp:coreProperties>
</file>

<file path=docProps/custom.xml><?xml version="1.0" encoding="utf-8"?>
<Properties xmlns="http://schemas.openxmlformats.org/officeDocument/2006/custom-properties" xmlns:vt="http://schemas.openxmlformats.org/officeDocument/2006/docPropsVTypes"/>
</file>