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MODIFY AN EXISTING CUSTODY OR VISITATION ORDER</w:t>
      </w:r>
    </w:p>
    <w:p>
      <w:pPr>
        <w:spacing w:after="0" w:before="0" w:line="240"/>
        <w:jc w:val="center"/>
      </w:pPr>
      <w:r>
        <w:rPr>
          <w:rFonts w:ascii="Times New Roman" w:cs="Times New Roman" w:eastAsia="Times New Roman" w:hAnsi="Times New Roman"/>
          <w:b w:val="false"/>
          <w:bCs w:val="false"/>
          <w:sz w:val="24"/>
          <w:szCs w:val="24"/>
        </w:rPr>
        <w:t xml:space="preserve">(doc-0100)</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Wesley Petrova respectfully petitions this Court to modify the existing custody order entered in 2021 by the Anchorage Superior Court. The current order grants Tomas Petrova primary physical custody of the parties' two minor children, ages eight and ten, with Wesley receiving only alternating weekend visitation and two weeks of summer parenting time. Since the entry of that order, the circumstances of both parties have changed substantially and materially. Wesley has achieved two years of sobriety, obtained stable professional employment, and purchased a home in the children's school district. Tomas, meanwhile, has accepted a position requiring him to be absent from Alaska for approximately fifteen days each month, leaving the children in the care of a rotating series of babysitters rather than a consistent parental figure.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These changed circumstances, viewed together, satisfy the threshold legal standard under AS 25.20.110 and warrant a full best-interests analysis. Wesley seeks modification to a week-on, week-off, equal 50-50 physical custody schedule. Such an arrangement would provide the children with stability, consistent parental involvement, and equal access to both parents. The existing order no longer reflects the realities of the parties' lives or the best interests of the children. For the reasons set forth below, this Court should grant Wesley's motion to modify custody.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Anchorage Superior Court entered the operative custody order in 2021, following the divorce of Wesley Petrova and Tomas Petrova. That order awarded Tomas primary physical custody of the two minor children, currently ages eight and ten. Under the order, Wesley was granted alternating weekend visitation from Friday evening through Sunday evening, along with two weeks of uninterrupted summer parenting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At the time the original order was entered, Wesley was addressing sobriety challenges that informed the court's decision to award primary custody to Tomas. Wesley has since successfully completed a two-year sobriety program and has maintained his sobriety consistently. He is now a licensed electrician with stable, ongoing employment. He has purchased a three-bedroom home located within the same school district where the children are currently enrolled. These developments represent a meaningful, sustained transformation in Wesley's circumstances since the 2021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Tomas's circumstances have changed as well, though in a direction that raises significant concerns for the children's stability and welfare. Tomas has accepted a new employment position that requires him to travel outside Alaska for approximately fifteen days each month. During these frequent absences, the children are not cared for by a consistent parental figure or a known, stable adult; rather, they are left in the care of a rotating series of babysitters. This arrangement deprives the children of consistent supervision, emotional continuity, and the kind of stable home environment that courts consistently recognize as central to children's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children are currently ages eight and ten, and both are enrolled in school in the district where Wesley now resides. Given the proximity of Wesley's home, his stable schedule as a licensed electrician, and his sobriety, he is able to offer the children a predictable, nurturing environment. Wesley seeks modification to a week-on, week-off schedule that would afford each parent equal parenting time and provide the children with the consistent presence of both parents in their daily lives.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25.20.110(a), a custody award may be modified when the court determines that a change in circumstances requires the modification and that the modification is in the best interests of the child. The Alaska Supreme Court has held that the change-in-circumstances requirement is intended to discourage continual relitigation of custody decisions and to protect the child's emotional welfare through finality and certainty. Laramie Rainer v. Ryan Poole, 510 P.3d 476 (Alaska 2022). Courts evaluate changed circumstances by comparing current conditions to the baseline facts that existed at the time the prior custody order was entered. Id.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substantial change in circumstances is established, the court proceeds to a best-interests analysis. McLane v. Paul, 189 P.3d 1039 (Alaska 2008). In conducting that analysis for purposes of a shared custody determination, the court considers the factors enumerated in AS 25.20.090, including the child's needs, the stability of the home environment each parent can offer, the proximity of each parent to the child's school, the feasibility of travel between parents, the willingness of each parent to facilitate a close and continuing relationship between the child and the other parent, and any evidence of substance abuse that directly affects the child's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AS 25.20.990 establishes that, absent a showing that equal access would be detrimental to the child's welfare, the child shall have, to the greatest degree practical, equal access to both parents while a custody award is under consideration. Civil Rule 938(f)(1) defines shared physical custody as a arrangement in which the children reside with each parent for at least 30 but no more than 70 percent of the year, as specified in writing in the custody order. Civil Rule 90.3(b) provides the framework for calculating child support in shared custody arrangements, and Civil Rule 90.3(h)(1) provides that a final child support award may be modified upon a showing of a material change of circumstances, with a presumption of such a change when the recalculated support amount differs from the outstanding order by more than 15 percent.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A Substantial Change in Circumstances Has Occurred Since Entry of the 2021 Custody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threshold requirement for modification under AS 25.20.110(a) is that a change in circumstances has occurred since the entry of the prior order. Courts compare present circumstances to those existing at the time of the order being challenged. Laramie Rainer v. Ryan Poole, 510 P.3d 476 (Alaska 2022). The change must be substantial enough to affect the children's welfare and must reflect more than the mere passage of time. Id. Here, the combined changes in both parties' circumstances easily satisfy this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At the time of the 2021 order, Wesley was working through sobriety challenges. The court, in awarding Tomas primary custody, necessarily relied on the then-existing conditions, including Wesley's sobriety status. Wesley has since completed a two-year sobriety program and maintained his recovery. He has secured licensed, stable employment as an electrician. He has purchased a three-bedroom home in the same school district where the children are enrolled. These are not superficial or transient changes; they represent a sustained, verified transformation that goes to the very foundations upon which the 2021 order was premised. The Alaska Supreme Court has recognized that a parent's changed circumstances, including changes in employment and housing stability, can constitute a substantial change in circumstances warranting modification review. Hope P. v. Flynn G., 355 P.3d 559 (Alaska 2015).</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Equally significant are the changes in Tomas's circumstances. Tomas now works in a position that requires him to be absent from Alaska for approximately fifteen days each month. During those absences, the children are placed in the care of a rotating series of babysitters, with no consistent parental or adult presence in the home. The Alaska Supreme Court has recognized that changes in a custodial parent's work schedule and the resulting impact on the children's day-to-day care can constitute a substantial change in circumstances. Hope P. v. Flynn G., 355 P.3d 559 (Alaska 2015). The situation here is even more pronounced: Tomas is absent from the state for roughly half of each month, and no stable substitute caregiver has been identified.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combination of Wesley's dramatically improved circumstances and Tomas's substantially changed and destabilizing work schedule, viewed together against the 2021 baseline, constitutes a substantial change in circumstances that requires this Court to proceed to a best-interests analysis. AS 25.20.110(a); Laramie Rainer v. Ryan Poole, 510 P.3d 476 (Alaska 2022); McLane v. Paul, 189 P.3d 1039 (Alaska 2008).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Modification to an Equal Week-On, Week-Off Schedule Is in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Having established a substantial change in circumstances, the Court must consider whether the proposed modification serves the children's best interests. AS 25.20.110(a). For shared custody determinations, the relevant factors are set out in AS 25.20.090. Those factors, applied to the facts of this case, strongly support a modification to an equal 50-50 week-on, week-off parenting schedule.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Children's Needs and the Stability of Each Home Environment.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children, ages eight and ten, are at developmental stages where consistency, predictability, and the presence of engaged parents are particularly important. Wesley's home offers all of these qualities. He has a three-bedroom home within the children's school district, a stable employment schedule as a licensed electrician, and two years of maintained sobriety. His home environment is organized, proximate to the children's school, and free from the instability that characterized the circumstances at the time of the original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By contrast, the current custodial arrangement under Tomas no longer provides the stability it was designed to protect. When Tomas is absent from Alaska for approximately fifteen days each month, the children are cared for by a revolving set of babysitters. This arrangement lacks the continuity and emotional consistency that children of these ages need. The Alaska Supreme Court has emphasized the importance of stability in the custodial environment and has held that courts must give meaningful weight to factors that directly affect children's day-to-day well-being. Weathers v. Weathers, 425 P.3d 131 (Alaska 2018); Siekawitch v. Siekawitch, 956 P.2d 447 (Alaska 1998). Rotating, unvetted babysitters do not provide the kind of stable home environment contemplated by AS 25.20.090(3).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The Children's Equal Access to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reflects a strong policy preference for children having meaningful access to both parents. AS 25.20.070 provides that, absent a showing of detriment, the child shall have, "to the greatest degree practical, equal access to both parents" while custody is under consideration. Under the current order, Wesley receives only alternating weekends and two summer weeks per year. This arrangement was appropriate in 2021 given the then-existing circumstances, but it is no longer adequate given the transformation in Wesley's life and the reduction in Tomas's effective availability to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week-on, week-off schedule Wesley proposes falls squarely within the definition of shared physical custody under Civil Rule 90.3(f)(1), which provides that shared physical custody means the children reside with each parent for at least 30 but no more than 70 percent of the year as specified in the custody order. A 50-50 schedule satisfies this definition and ensures neither parent is relegated to a peripheral role in the children's lives. The Alaska Supreme Court has recognized that a 50-50 custody schedule is often the appropriate starting point and that courts must conduct a careful best-interests analysis rather than mechanically favor one parent's existing advantage. Weathers v. Weathers, 425 P.3d 131 (Alaska 2018).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Proximity to School and Feasibility of the Proposed Schedule.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25.20.944(B) directs the court to consider the proximity of each parent to the other and to the school in which the child is enrolled. Wesley has purchased a three-bedroom home within the same school district where the children are enrolled. This means a week-on, week-off schedule would not require the children to change schools, alter their established routines, or travel significant distances between parental homes. The transition between households would be logistically straightforward, minimizing disruption to the children's academic and social lives. This factor weighs clearly in favor of the proposed schedule.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Each Parent's Willingness to Facilitate the Other Parent's Relationship with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25.20.090(6)(E) requires consideration of each parent's willingness and ability to facilitate a close and continuing relationship between the child and the other parent. Wesley has demonstrated, through his actions since the 2021 order, that he is committed to the children's overall well-being. His completion of a two-year sobriety program, his investment in a home suitable for the children, and his pursuit of modification through proper legal channels rather than by undermining the existing order all reflect a good-faith commitment to the children's relationship with both parents. Nothing in the record suggests that Wesley has interfered with the children's relationship with Tomas or that he would do so under a modified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Prior Substance Abuse History and Its Current Relevance.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25.20.090(9) directs the court to consider evidence that substance abuse by either parent directly affects the emotional or physical well-being of the child. This factor was plainly relevant to the 2021 order. It is no longer a barrier to Wesley's request. Wesley has completed a formal two-year sobriety program. His recovery is not merely alleged; it has been demonstrated through a structured, extended program of treatment and sustained abstinence. The Alaska Supreme Court has recognized that courts must evaluate parents' current circumstances rather than rely solely on historical conduct, particularly when the parent has demonstrated genuine and lasting change. Blanton v. Yourkowski, 180 P.3d 948 (Alaska 2008). Wesley's sobriety history weighs in favor of the modification rather than against it, as it demonstrates his capacity for sustained personal responsibility and commitment to his children's welfare.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The Proposed Schedule Serves the Children's Best Interests and Should Govern Child Support Recalculation.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90.3(b), child support in shared physical custody cases is calculated using a specific formula that accounts for each parent's income and the percentage of time the children reside with each parent. Because the proposed modification would convert the arrangement from one of primary custody with limited visitation to true shared physical custody, a recalculation of child support under Civil Rule 90.3(b) would be required. Additionally, under Civil Rule 90.3(h)(1), a material change of circumstances is presumed when the recalculated support amount is more than 15 percent greater or less than the outstanding order. Given the substantial increase in Wesley's parenting time under the proposed schedule, it is highly likely that the recalculated support obligation will reflect a difference exceeding 15 percent, triggering the presumption and warranting a formal modification of any existing support order as well.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overall weight of the AS 25.20.090 factors supports granting Wesley's motion. The children will benefit from equal time with a sober, employed, and stably housed father, while also maintaining a meaningful relationship with Tomas during his periods of availability. The week-on, week-off schedule avoids long stretches away from either parent, provides logistical simplicity given the shared school district, and honors the legislative preference for equal parental access expressed in AS 25.20.070. As the Alaska Supreme Court noted in Martin v. Martin, 303 P.3d 421 (Alaska 2013), courts have authority to fashion custody schedules that are in the best interests of the children, and that authority includes modifying existing arrangements when the underlying circumstances have shifted in ways that make the current order inadequate.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Wesley Petrova respectfully requests that this Court find that a substantial change in circumstances has occurred since entry of the 2021 custody order, proceed to a best-interests analysis under AS 25.20.110(a) and AS 25.20.090, and enter an order modifying physical custody to a week-on, week-off, equal 50-50 shared custody schedule consistent with Civil Rule 90.3(f)(1). Wesley further requests that the Court order recalculation of child support under Civil Rule 90.3(b) to reflect the modified custody arrangement, and that the Court enter any additional orders necessary to protect and promote the children's best interests.</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2026-08-16T22:06:19.436Z</dcterms:created>
  <dcterms:modified xsi:type="dcterms:W3CDTF">2026-08-16T22:06:19.436Z</dcterms:modified>
</cp:coreProperties>
</file>

<file path=docProps/custom.xml><?xml version="1.0" encoding="utf-8"?>
<Properties xmlns="http://schemas.openxmlformats.org/officeDocument/2006/custom-properties" xmlns:vt="http://schemas.openxmlformats.org/officeDocument/2006/docPropsVTypes"/>
</file>