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MOTION TO MODIFY AN EXISTING CUSTODY OR VISITATION ORDER</w:t>
      </w:r>
    </w:p>
    <w:p>
      <w:pPr>
        <w:spacing w:after="0" w:before="0" w:line="240"/>
        <w:jc w:val="center"/>
      </w:pPr>
      <w:r>
        <w:rPr>
          <w:rFonts w:ascii="Times New Roman" w:cs="Times New Roman" w:eastAsia="Times New Roman" w:hAnsi="Times New Roman"/>
          <w:b w:val="false"/>
          <w:bCs w:val="false"/>
          <w:sz w:val="24"/>
          <w:szCs w:val="24"/>
        </w:rPr>
        <w:t xml:space="preserve">(doc-0104)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Petitioner Renee Petrova respectfully requests that this Court modify the existing custody order entered in 2021 to designate her as the primary physical custodian of the parties' two minor children. Since the 2021 order was entered, the circumstances of both parties have changed substantially and materially. Renee has relocated to Anchorage to accept stable, long-term employment, completed a 90-day parenting skills program, and established a consistent, suitable home environment for the children. Respondent Maria Petrova, by contrast, has moved four times in the past year, including a period in which the children resided with her in a friend's one-bedroom apartment, demonstrating a pattern of housing instability that directly and adversely affects the children's welfare. These changes satisfy the threshold requirement of a substantial change in circumstances under AS 25.20.110, and the balance of the best-interests factors under AS 25.24.150 and AS 25.20.913 weighs clearly in favor of awarding primary physical custody to Renee. This Court should therefore enter a modified order designating Renee as the primary physical custodian, with appropriate parenting time for Maria.</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2021, the Superior Court entered a custody order granting the parties joint legal custody of their two minor children. Under that order, Maria Petrova holds primary physical custody of the children, and Renee Petrova exercises parenting time every other weekend and one evening per week.</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entry of the 2021 order, Renee secured stable, long-term employment in Anchorage and relocated there accordingly. Her relocation was motivated by a genuine professional opportunity that has provided her with financial stability and the capacity to maintain a suitable, permanent residence for the children. In addition, Renee voluntarily completed a 90-day parenting skills program, reflecting her ongoing commitment to improving her ability to meet the children's needs. Renee has established a consistent and appropriate home environment in Anchorage that is capable of serving the children's physical, emotional, and educational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sharp contrast, Maria's circumstances have deteriorated significantly since the 2021 order. Over the past year alone, Maria has moved four times. At one point, she and the children lived together in a friend's one-bedroom apartment, an arrangement that was cramped, temporary, and plainly inadequate for two children who require stability, space, and predictability in their home lives. This pattern of repeated, short-term relocations has disrupted the children's routines and deprived them of the stable environment that is central to their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cumulative effect of these changes: Renee's improved stability and parenting readiness, and Maria's ongoing housing instability, constitutes a substantial and material change in circumstances since the 2021 order and warrants a modification of primary physical custody in favor of Renee.</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modify a custody order when it determines that a change in circumstances requires the modification and the modification is in the best interests of the child. AS 25.20.110(a). The Alaska Supreme Court has emphasized that the change-in-circumstances requirement is designed to discourage continual relitigation of custody decisions and to preserve finality in custody arrangements, recognizing that stability is critical to a child's emotional welfare. Laramie Rainer v. Ryan Poole, 510 P.3d 476 (Alaska 2022). Courts compare current circumstances to the baseline that existed at the time of the most recent custody order. Id.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conducts a best-interests analysis under AS 25.24.150(c) and AS 25.20.961. The factors the court must consider include: the physical, emotional, mental, religious, and social needs of the child; the capability and desire of each parent to meet those needs; the length of time the child has lived in a stable, satisfactory environment and the desirability of maintaining continuity; the willingness and ability of each parent to facilitate and encourage a close and continuing relationship between the other parent and the child; any evidence of domestic violence, child abuse, or child neglect; and any other factors the court considers pertinent. AS 25.24.150(c).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may award primary physical custody to either parent on the basis of this analysis, and neither parent is entitled to preference by reason of gender or any other consideration unrelated to the child's welfare. AS 25.20.060(b). The court's overarching obligation is to award custody on the basis of the best interests of the child, considering all relevant factors. AS 25.20.060(a).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child support is at issue following any modification of physical custody, the award shall be calculated in accordance with Civil Rule 90.3(a) for primary physical custody arrangements and Civil Rule 90.3(b) for shared physical custody arrangements. A modification of a final child support award requires a showing of a material change in circumstances, with a presumption of materiality arising when the recalculated support amount differs from the outstanding order by more than 15 percent. Civil Rule 90.3(h)(1).</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A Substantial Change in Circumstances Has Occurred Since the 2021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threshold question in any custody modification proceeding is whether a substantial change in circumstances has occurred since the entry of the prior order. AS 25.20.110(a). The Alaska Supreme Court has made clear that courts must compare current circumstances to the factual baseline existing at the time of the most recent order to determine whether the change is substantial enough to warrant reconsideration of the custody arrangement. Laramie Rainer v. Ryan Poole, 510 P.3d 476 (Alaska 2022). Here, the changes since the 2021 order are numerous, significant, and directly relevant to the children's welfare.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At the time the 2021 order was entered, both parties resided in Juneau, and the custody arrangement was structured with that shared geographic proximity in mind. Since that time, Renee has relocated to Anchorage to accept stable, long-term employment, while Maria has moved four times in the past year, including a period of residing with the children in a friend's one-bedroom apartment. The Alaska Supreme Court has recognized that a parent's relocation constitutes a material change in circumstances when it alters the structure and functioning of the existing custody arrangement. Barrett v. Alguire, 611 P.3d 404 (Alaska 2001). In Barrett, the court found that a parent's move to another state warranted a hearing on custody modification because it disrupted the children's previously stable environment. The parallel is apt here: the geographic separation of the parties, combined with Maria's documented housing instability, represents a fundamental departure from the conditions that existed when the 2021 order was crafted.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pattern of repeated moves, four relocations within a single year, and her temporary placement of the children in a single-bedroom apartment shared with a friend, constitutes a direct and concrete change affecting the children's day-to-day welfare. The stability of the custodial home is among the most critical considerations in any custody determination, and a dramatic deterioration in housing stability since the last order plainly satisfies the change-in-circumstances standard. Weathers v. Weathers, 425 P.3d 131 (Alaska 2018) (noting that the stability of the children's environment encompasses a multitude of factors, including the home provided by the custodial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Simultaneously, Renee's circumstances have improved materially. She has obtained long-term, stable employment, completed a 90-day parenting skills program, and established a consistent home environment. These positive developments, viewed alongside Maria's declining housing stability, together establish that the conditions underpinning the 2021 order have changed substantially and that the court must now revisit the custody arrangement to protect the children's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Modification of Primary Physical Custody to Renee Is in the Best Interests of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change in circumstances is established, the court must determine whether modification is in the children's best interests. AS 25.20.110(a). The factors enumerated in AS 25.24.150(c) guide this inquiry. Analyzed here, those factors weigh substantially in favor of designating Renee as primary physical custodian.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The Children's Physical, Emotional, and Social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25.24.150(c)(1), the court must consider the physical, emotional, mental, religious, and social needs of the child. Children require a stable, safe, and predictable living environment as a foundation for their physical health, emotional development, and social adjustment. Maria's four moves in one year, and her temporary housing of the children in a one-bedroom apartment with a third party, do not reflect an environment capable of consistently meeting these needs. A child who is repeatedly uprooted from one residence to another experiences disruption to schooling, friendships, routines, and the sense of security that is essential to healthy development.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Renee's established residence in Anchorage, by contrast, provides the children with a permanent and stable home. Renee's completion of a 90-day parenting skills program further demonstrates her active commitment to developing the tools necessary to meet the children's emotional and developmental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The Capability and Desire of Each Parent to Meet the Children's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25.24.150(c)(2), the court must evaluate the capability and desire of each parent to meet the children's needs. The Alaska Supreme Court has emphasized that it is a parent's present ability to provide for the needs of the child that is at issue. McQuade v. McQuade, 901 P.2d 421 (Alaska 1995). Renee has demonstrated her present capability through her acquisition of stable employment, her completion of a formal parenting skills program, and her establishment of a suitable household. These are affirmative, concrete steps that reflect both the desire and the capacity to serve as a primary caregiver.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recent history, characterized by repeated relocations and inadequate housing, raises legitimate questions about her present ability to provide the children with the stable environment they require. The court is entitled to consider a parent's track record in the period since the last order as probative of current parenting capacity. Pingree v. Cossette, 424 P.3d 371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Stability and Continuity of the Children's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25.24.150(c)(5), the court must consider the length of time the child has lived in a stable, satisfactory environment and the desirability of maintaining continuity. This factor, often cited as among the most weighty in custody determinations, cuts strongly in Renee's favor under the present circumstances. Blanton v. Yourkowski, 180 P.3d 948 (Alaska 2008). While continuity is ordinarily a factor favoring the existing custodial arrangement, it cannot serve to perpetuate an unstable environment that no longer provides the children with the consistency they need. Where the current custodial home is itself the source of instability, continuity in that arrangement does not serve the children's interests.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Maria's four moves in the past year, including the one-bedroom apartment episode, have already disrupted whatever continuity existed under the 2021 order. Renee's Anchorage residence offers the prospective continuity and stability that the children need going forward. The Alaska Supreme Court has recognized that courts must consider the home provided by the custodial parent as part of the stability analysis, and that a custodial parent's inability to maintain adequate housing is relevant to this inquiry. Weathers v. Weathers, 425 P.3d 131 (Alaska 2018).</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Each Parent's Willingness to Facilitate the Other Parent's Relationship with the Children.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25.24.150(c)(6), the court must consider the willingness and ability of each parent to facilitate and encourage a close and continuing relationship between the other parent and the child. Renee does not seek to eliminate Maria's relationship with the children. She requests only that the primary custodial designation be modified to reflect the current realities of each parent's circumstances. Renee is prepared to support an appropriate parenting time schedule for Maria that preserves the children's bond with both parents. The Alaska Supreme Court has recognized that a parent's demonstrated willingness to facilitate the other parent's relationship with the children is an important positive factor in a custody determination. Ronny M. v. Nanette H., 303 P.3d 392 (Alaska 2013).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The Best-Interests Standard Requires Modification.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Taken together, the AS 25.24.150(c) factors demonstrate that modifying primary physical custody to Renee is in the children's best interests. The court's paramount duty is to award custody on the basis of what best serves the children's welfare. AS 25.20.060(a). As the Alaska Supreme Court held in Weathers v. Weathers, 425 P.3d 131 (Alaska 2018), a custody arrangement must be the product of a genuine best-interests analysis that appropriately weighs all relevant factors and does not assign disproportionate weight to any single consideration to the exclusion of others. Here, the weight of the relevant factors favors Renee. She offers the children stability, a permanent home, employment-backed financial security, and demonstrated commitment to her role as a parent. Maria's recent history of housing instability undermines the foundational premise of the current arrangement, namely that the children's primary home provides them with a safe and stable environment.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 Any Resulting Child Support Obligation Should Be Recalculated Under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Should the court grant the requested modification and designate Renee as primary physical custodian, the parties' child support obligations must be recalculated accordingly. Under Civil Rule 90.3(a), a child support award in a case in which one parent is awarded primary physical custody is calculated as the non-custodial parent's adjusted annual income multiplied by the applicable percentage: 20 percent for one child, and 27 percent for two children. Upon modification, Maria would become the non-custodial parent, and her support obligation should be calculated using the Civil Rule 90.3(a) formula.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modification of child support is appropriate upon a showing of a material change in circumstances. Civil Rule 90.3(h)(1). A material change of circumstances is presumed when the recalculated support amount differs from the outstanding order by more than 15 percent. Civil Rule 90.3(h)(1). A modification of the custody designation will almost certainly produce a recalculated support figure that exceeds this threshold, thereby establishing the material change required to modify any existing child support order.</w:t>
      </w:r>
    </w:p>
    <w:p>
      <w:pPr>
        <w:spacing w:line="240"/>
      </w:pPr>
      <w:r>
        <w:rPr>
          <w:rFonts w:ascii="Times New Roman" w:cs="Times New Roman" w:eastAsia="Times New Roman" w:hAnsi="Times New Roman"/>
          <w:b w:val="false"/>
          <w:bCs w:val="false"/>
          <w:sz w:val="24"/>
          <w:szCs w:val="24"/>
        </w:rPr>
        <w:t xml:space="preserve"/>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 foregoing reasons, Petitioner Renee Petrova respectfully requests that this Court find a substantial change in circumstances has occurred since the 2021 custody order, conduct a best-interests analysis under AS 25.24.150(c) and AS 25.20.060, and enter a modified custody order designating Renee as the primary physical custodian of the parties' two minor children, with appropriate parenting time for Maria Petrova. Renee further requests that the Court recalculate the parties' child support obligations in accordance with Civil Rule 90.3(a) and Civil Rule 90.3(h)(1) to reflect the modified custody arrangement.</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2026-08-16T22:11:31.100Z</dcterms:created>
  <dcterms:modified xsi:type="dcterms:W3CDTF">2026-08-16T22:11:31.100Z</dcterms:modified>
</cp:coreProperties>
</file>

<file path=docProps/custom.xml><?xml version="1.0" encoding="utf-8"?>
<Properties xmlns="http://schemas.openxmlformats.org/officeDocument/2006/custom-properties" xmlns:vt="http://schemas.openxmlformats.org/officeDocument/2006/docPropsVTypes"/>
</file>