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MOTION TO MODIFY AN EXISTING CUSTODY OR VISITATION ORDER</w:t>
      </w:r>
    </w:p>
    <w:p>
      <w:pPr>
        <w:spacing w:after="0" w:before="0" w:line="240"/>
        <w:jc w:val="center"/>
      </w:pPr>
      <w:r>
        <w:rPr>
          <w:rFonts w:ascii="Times New Roman" w:cs="Times New Roman" w:eastAsia="Times New Roman" w:hAnsi="Times New Roman"/>
          <w:b w:val="false"/>
          <w:bCs w:val="false"/>
          <w:sz w:val="24"/>
          <w:szCs w:val="24"/>
        </w:rPr>
        <w:t xml:space="preserve">(doc-0105)</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This brief is submitted in support of Petitioner Ashley Bergstrom's motion to modify the existing child custody and parenting time order entered in 2021. The parties, Ashley Bergstrom and Colin Bergstrom, share joint legal custody of their two minor children, with primary physical custody currently residing in Ashley and scheduled parenting time to Colin every other weekend and one weeknight per week. Ashley has accepted a permanent employment transfer to Juneau, Alaska, approximately 600 miles from the family's established home in Fairbanks, where Colin continues to reside and where the children currently attend school. Rather than uproot the children mid-year from their schools, community ties, and relationship with their father, Ashley petitions this court to temporarily award Colin primary physical custody during the school year while preserving her meaningful and substantial parenting time during summer break, winter recess, and spring break. This proposed arrangement prioritizes the children's educational continuity and stability while simultaneously protecting the children's close and continuing relationship with both parents. The modification Ashley seeks is narrowly tailored, grounded in the children's best interests, and fully supported by Alaska law.</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Ashley Bergstrom and Colin Bergstrom were divorced in 2021 by order of the Superior Court. The existing order awards the parties joint legal custody of their two minor children and grants Ashley primary physical custody. Colin exercises parenting time every other weekend and one weeknight per week under the existing schedule.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Following entry of the 2021 order, Ashley was offered and accepted a permanent job transfer to Juneau, Alaska. Juneau is located approximately 600 miles from Fairbanks, making regular weekday exchanges between the two cities logistically infeasible due to the geographic distance and lack of road access between the two communities. Colin continues to reside in Fairbanks, where the children are currently enrolled in school and have established friendships, community connections, and a stable daily routine.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Ashley does not seek to permanently divest herself of her parenting role or to restrict Colin's access to the children. Rather, she proposes a modified arrangement in which the children remain in Fairbanks with Colin as the primary physical custodian during the school year, ensuring no disruption to their education, while Ashley exercises extended parenting time during summer break, winter recess, and spring break. This proposal reflects Ashley's good-faith effort to balance her professional obligations against the children's demonstrated need for educational stability and their established relationship with both parents.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existing order no longer reflects the practical realities of the parties' circumstances. Ashley's permanent relocation constitutes a substantial change in circumstances that requires judicial attention and a modification of the current parenting plan to serve the children's best interests going forward.</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Alaska law, a court may modify a custody or visitation award when it determines that a change in circumstances requires the modification and the modification is in the best interests of the child. AS 25.20.110(a). A relocating parent's move out of the area can constitute a change of circumstances warranting reconsideration of the existing custody arrangement. Nelson v. Nelson, 263 P.3d 49 (Alaska 2011). Once a qualifying change of circumstances is established, the court conducts a comprehensive best interests analysis guided by the factors set forth in AS 25.24.150(c), including the physical, emotional, mental, religious, and social needs of the child; the capability and desire of each parent to meet those needs; the child's preference if the child is of sufficient age and capacity; the love and affection existing between the child and each parent; the length of time the child has lived in a stable, satisfactory environment and the desirability of maintaining continuity; each parent's willingness and ability to facilitate a close and continuing relationship between the other parent and the child; any evidence of domestic violence or substance abuse; and other pertinent factors. AS 25.24.150(c).</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Additionally, AS 25.20.070 provides that, unless doing so would be detrimental to the welfare of the child or unless the domestic violence presumption of AS 25.24.150(g) applies, the children shall have, to the greatest degree practical, equal access to both parents during the pendency of custody proceedings. In awarding shared or modified physical custody arrangements, the court may also consider the factors enumerated in AS 25.20.090, including the stability of each parent's home environment, the optimal time for the children to spend with each parent given their proximity and the feasibility of travel, and each parent's willingness to facilitate the children's relationship with the other parent.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held that custody modification decisions must reflect a thorough, individualized best interests analysis and must not place disproportionate weight on any single factor at the expense of a balanced overall assessment. Weathers v. Weathers, 425 P.3d 131 (Alaska 2018). The court must consider the totality of circumstances affecting the children's well-being. AS 25.24.150(d) provides that in awarding custody the court may consider only those facts that directly affect the well-being of the child.</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Ashley's Permanent Relocation to Juneau Constitutes a Substantial Change of Circumstances Under AS 25.20.110(a).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modification of custody is warranted when the court determines that a change in circumstances requires it and that the modification is in the best interests of the child. AS 25.20.110(a). A custodial parent's permanent relocation to a community hundreds of miles away from the children's school and the other parent is precisely the type of change of circumstances that triggers modification review under Alaska law. Nelson v. Nelson, 263 P.3d 49 (Alaska 2011) (a move out of state by a custodial parent constitutes a change of circumstances as a matter of law under the framework of AS 25.20.110(a)). While the present relocation is within Alaska rather than out of state, the practical effect of a 600-mile move to a community with no road access to Fairbanks is, for purposes of the children's daily lives and the existing parenting schedule, equally transformative. The existing parenting plan, which contemplates weeknight parenting time and every-other-weekend exchanges, is a physical impossibility under the new geographic circumstances. The current order is therefore unworkable as written, and the threshold requirement for modification is satisfied.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Furthermore, Barrett v. Alguire, 35 P.3d 1 (Alaska 2001) makes clear that a relocating parent's move, particularly one that displaces children from a stable environment and disrupts their established routines, supports a finding of material change of circumstances justifying modification. Here, Ashley does not seek to relocate the children. To the contrary, she affirmatively proposes that the children remain in Fairbanks with Colin during the school year precisely to avoid that disruption. This forward-looking, child-centered proposal underscores that a genuine and substantial change of circumstances exists, and that a modified order is necessary to address it.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Modification to Award Colin Primary Physical Custody During the School Year Serves the Children's Best Interests Under AS 25.24.150(c).</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Once a change of circumstances is established, the court must determine what custody arrangement serves the children's best interests by examining the factors listed in AS 25.24.150(c). A careful application of those factors to the present circumstances supports the modification Ashley proposes.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Educational Stability and Environmental Continuity Favor the Proposed Modification.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Among the most significant best interests factors is "the length of time the child has lived in a stable, satisfactory environment and the desirability of maintaining continuity." AS 25.24.150(c)(5). The children are currently enrolled in Fairbanks schools, have established friendships in that community, and have lived in that environment for the duration of their young lives. Requiring the children to relocate mid-year to Juneau, a community with a different school system, different peer networks, and no established support structure for them, would be directly contrary to their interest in continuity and stability.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Ashley's proposal solves this problem entirely. By voluntarily proposing that the children remain with Colin in Fairbanks during the school year, Ashley ensures that the children's educational placement, friendships, and daily routines are maintained without interruption. The Alaska Supreme Court has recognized that educational stability and the preservation of familiar surroundings weigh heavily in custody determinations. Tompkins v. Tompkins, 961 P.2d 419 (Alaska 1998) (noting that a custody investigator's preference for the arrangement that minimized disruption to the children's established community ties was a legitimate and important consideration). The proposed modification is therefore consistent with this principle.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Ashley's Willingness to Propose This Modification Demonstrates Her Commitment to Facilitating the Children's Relationship with Colin.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25.24.150(c)(6) directs the court to consider "the willingness and ability of each parent to facilitate and encourage a close and continuing relationship between the other parent and the child." Ashley's voluntary proposal to place the children in Colin's primary physical custody during the school year is perhaps the clearest possible demonstration of her willingness to foster the children's relationship with their father. Rather than insisting on retaining physical custody at the expense of the children's connection to Colin and their established community, Ashley is placing the children's relationship with both parents above her own residential preference.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25.20.090(6)(E) similarly instructs the court, in evaluating shared or modified custody arrangements, to consider the willingness and ability of each parent to facilitate and encourage a close and continuing relationship between the other parent and the child. Ashley's proposal is the practical embodiment of that willingness. The court should recognize this posture as a factor weighing in favor of approving the modification as proposed.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The Proposed Schedule Allows for Meaningful and Substantial Contact Between Ashley and the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25.20.070 establishes that, to the greatest degree practical, children shall have equal access to both parents. While geographic distance necessarily limits the frequency of contact between Ashley and the children during the school year, the proposed modification compensates for this reduction in frequency by providing for extended, uninterrupted parenting time during summer break, winter recess, and spring break. These extended periods allow Ashley to maintain a deep and meaningful parenting relationship with the children, even across geographic distance.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recognized that the structure of a custody arrangement must be evaluated in light of actual geographic and logistical realities rather than abstract ideals. Tompkins v. Tompkins, 961 P.2d 419 (Alaska 1998). The logistical constraints posed by the distance between Fairbanks and Juneau make a school-year/vacation-period division the arrangement most consistent with both the children's educational continuity and their continued access to both parents.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The Needs of the Children and the Capability of Each Parent to Meet Those Needs Support the Proposed Arrangement.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25.24.150(c)(1) directs the court to consider "the physical, emotional, mental, religious, and social needs of the child," and AS 25.24.150(c)(2) requires consideration of "the capability and desire of each parent to meet these needs." Both parents in this matter are capable and loving parents. The 2021 order itself reflects the court's prior determination that joint legal custody was appropriate and that Ashley was a fit primary custodian. Nothing has changed with respect to either parent's capability or desire to meet the children's needs.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What has changed is the logistical reality of the family's geography. The proposed modification is designed precisely to ensure that both parents continue to meet the children's needs: Colin by providing a stable home base in Fairbanks during the school year, and Ashley by providing extended, enriching parenting time during school vacations. The arrangement also preserves the joint legal custody structure, ensuring that both parents continue to participate in decisions regarding the children's education, health, and welfare.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The Proximity and Feasibility of Travel Between the Parents Supports the School-Year/Vacation-Period Division.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25.20.090(6)(B) and (C) require the court to consider the proximity of each parent to the other and to the children's school, as well as the feasibility of travel between the parents. Fairbanks and Juneau are separated by approximately 600 miles, and there is no road connecting the two cities. Travel between them requires either air transportation or a combination of ferry and road travel, each of which is costly and time-consuming. The feasibility of the existing weeknight parenting arrangement is therefore eliminated entirely.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school-year/vacation-period division accounts for these travel realities directly. During the school year, the children remain in Fairbanks where their school is located and where Colin lives. During extended vacation periods, the children travel to Juneau to be with Ashley. This division matches the natural rhythm of the school calendar to the geographic realities of the family's new circumstances and minimizes the burden that travel places on the children themselves. Brett M. v. Amanda M., 445 P.3d 1005 (Alaska 2019) (affirming that a custody arrangement that accounts for geographic distance and the children's established ties to a community is consistent with a proper best interests analysis).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6. A Thorough and Balanced Best Interests Analysis Supports Approval of the Proposed Modification.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cautioned that courts must conduct a thorough and balanced best interests analysis, and must not elevate any single factor disproportionately at the expense of the overall picture. Weathers v. Weathers, 425 P.3d 131 (Alaska 2018). Here, the totality of the relevant factors converges on the same result. The children's educational stability is preserved. Their relationship with Colin is protected and enhanced. Ashley's relationship with the children is maintained through meaningful extended parenting time. The geographic and logistical realities of the family's new circumstances are fully accounted for. No factor identified in AS 25.24.150(c) or AS 25.20.090 weighs against the proposed modification.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25.24.150(d) directs that in awarding custody the court may consider only those facts that directly affect the well-being of the child. Every element of the proposed modification is directly tied to the children's well-being: their continuity of education, their relationships with both parents, and their physical and emotional stability. The court should approve the modification as proposed.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Child Support Should Be Recalculated to Reflect the Modified Physical Custody Arrangement.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modification of the physical custody arrangement will necessarily require recalculation of the child support obligation. Under Civil Rule 90.3(a), child support in a primary physical custody arrangement is calculated by multiplying the non-custodial parent's adjusted annual income by the applicable percentage: 20% for one child and 27% for two children. Under Civil Rule 90.3(b), if the parties are awarded shared physical custody, a different calculation applies that accounts for the percentage of time each parent exercises physical custody.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school-year/vacation-period arrangement proposed by Ashley may qualify as shared physical custody depending on the precise allocation of parenting days. The court should make findings regarding the percentage of time each parent will exercise physical custody and apply the appropriate formula under Civil Rule 90.3(a) or Civil Rule 90.3(b) accordingly. Ashley requests that the court conduct this analysis at the modification hearing and enter an updated child support order consistent with the modified physical custody arrangement.</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the foregoing reasons, Ashley Bergstrom respectfully requests that this court find that her permanent relocation to Juneau constitutes a substantial change of circumstances under AS 25.20.110(a), conduct a best interests analysis under AS 25.24.150(c), and enter an order modifying the existing custody arrangement as follows: awarding Colin Bergstrom primary physical custody of the two minor children during the school year, with Ashley Bergstrom exercising primary physical custody during summer break, winter recess, and spring break, and with the parties retaining joint legal custody. Ashley further requests that the court recalculate child support consistent with the modified custody arrangement under Civil Rule 90.3(a) or Civil Rule 90.3(b) as applicable. This modification is in the best interests of the children, accounts for the logistical realities of the family's changed circumstances, and preserves the children's meaningful relationships with both of their parents.</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2026-08-16T22:12:53.876Z</dcterms:created>
  <dcterms:modified xsi:type="dcterms:W3CDTF">2026-08-16T22:12:53.876Z</dcterms:modified>
</cp:coreProperties>
</file>

<file path=docProps/custom.xml><?xml version="1.0" encoding="utf-8"?>
<Properties xmlns="http://schemas.openxmlformats.org/officeDocument/2006/custom-properties" xmlns:vt="http://schemas.openxmlformats.org/officeDocument/2006/docPropsVTypes"/>
</file>