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 Sutter respectfully petitions this Court to modify the existing custody order entered in 2021 and transfer primary physical custody of the parties' two minor children to her. Since the entry of the original order, Elena Sutter has accepted a permanent position with a fisheries management agency in Juneau, requiring her to relocate approximately 600 miles from Anchorage, where the children currently reside, attend school, and are embedded in their community. This relocation constitutes a substantial change in circumstances warranting modification of the custody arrangement. Transferring primary physical custody to Maria will serve the children's best interests by preserving the stability of their school enrollment, extended family relationships, extracurricular activities, and community ties. Elena may be awarded extended summer visitation and regular video contact during the school year, ensuring that both parents remain meaningfully present in the children's lives.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 and Maria Sutter were divorced in 2021 pursuant to a Superior Court order. That order granted Elena primary physical custody of the parties' two minor children. Maria was awarded visitation every other weekend and on alternating holidays. Both children currently reside in Anchorage, attend school there, and are actively engaged in extracurricular activities. Maria also continues to reside in Anchorage and has maintained consistent involvement in the children's lives throughout the post-divorce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custody order, Elena accepted a permanent employment position with a fisheries management agency located in Juneau, Alaska. This position requires Elena to permanently relocate from Anchorage to Juneau, a distance of approximately 600 miles. Elena's relocation is not temporary in nature; it is a permanent change of her residence and employment. The children's extended family on Maria's side, the children's school, and their established social and extracurricular networks are all located in Anchorage.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move to Juneau would, under the existing custody order, require the children to be uprooted from their current school, separated from Maria on a day-to-day basis, and removed from the community and extended family that have provided a stable foundation for their development. Maria now petitions this Court to modify the custody arrangement by granting her primary physical custody so that the children may remain in Anchorage, with Elena receiving extended summer visitation and regular electronic contact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award may be modified when the court determines that a change in circumstances requires modification and that modification is in the best interests of the child. When a parent opposes the modification and modification is granted, the court must enter its reasons for the modification on the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 are evaluated under the factors set forth in AS 25.24.150(c), which directs the court to consider, among other things,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and the willingness and ability of each parent to facilitate and encourage a close and continuing relationship between the other parent and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shared physical custody is at issue, the court may also consider the factors enumerated in AS 25.20.090, including the stability of the home environment likely to be offered by each parent, the advantages of keeping the child in the community where the child presently resides, the proximity of each parent to the other and to the school in which the child is enrolled, and the feasibility of travel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a parent's relocation can constitute a material change in circumstances sufficient to support modification of a custody order. In Barrett v. Alguire, 35 P.3d 1 (Alaska 2001), the court held that a custodial parent's move to another state was a material change in circumstances warranting a hearing on custody modification, with the best interests factors under AS 25.24.150(c) guiding the ultimate determination.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Similarly, in Hayes v. Hayes, 922 P.2d 896 (Alaska 1996), the Alaska Supreme Court recognized that while geographic continuity is an important consideration, it must be weighed against other competing factors, including the stability of the child's relationship with each parent and the strength of community ties. The court applies a best interests standard without placing a heightened burden on either party to demonstrate the appropriateness of a proposed relocation or its resulting custody consequences.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Elena's Permanent Relocation to Juneau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threshold showing of changed circumstances is required before a court may consider modifying a custody award. AS 25.20.110(a) provides that modification is appropriate when the court determines that a change in circumstances requires the modification. Elena's permanent relocation from Anchorage to Juneau satisfies this threshold. The relocation is not a temporary disruption; it is a fundamental and enduring change to the factual foundation upon which the original 2021 custody order was premised. At the time the order was entered, both parents resided in Anchorage, and the children's day-to-day needs could be met in proximity to both parents. That premise no longer holds.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the Alaska Supreme Court recognized in Barrett v. Alguire, 35 P.3d 1 (Alaska 2001), the relocation of a custodial parent is precisely the kind of material change in circumstances that warrants judicial reconsideration of a custody arrangement. Elena's acceptance of a permanent position 600 miles from the children's current home, school, and community is not a mere change in routine. It fundamentally alters the terms under which custody was originally awarded and demands that the Court reassess what arrangement will serve the children's best interests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Primary Physical Custody to Maria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what modification, if any, is in the best interests of the children. AS 25.24.150(c) sets forth the factors the court must consider. When evaluated in light of the present circumstances, these factors weigh in favor of transferring primary physical custody to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Stability and Continuity of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most immediate consideration is the desirability of maintaining the stable environment the children currently enjoy. AS 25.24.150(c)(5) directs the court to consider the length of time the child has lived in a stable, satisfactory environment and the desirability of maintaining continuity. The children have lived in Anchorage throughout their lives. They attend school there, participate in extracurricular activities there, and maintain relationships with extended family there. Requiring the children to relocate 600 miles to Juneau would sever each of these connections simultaneously.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examined this precise tension in Hayes v. Hayes, 922 P.2d 896 (Alaska 1996), where it acknowledged that continuity of geographic location and schooling is a legitimate concern, but held that other factors, including the strength of relationships and stability of parenting arrangements, can outweigh geographic continuity. Here, unlike in Hayes, the geographic continuity and the more stable parenting arrangement point in the same direction: keeping the children in Anchorage with Maria provides both community continuity and the consistency of daily parental presence.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Likewise, in Tompkins v. Tompkins, 961 P.2d 419 (Alaska 1998), the custody investigator concluded that children would experience less disruption by remaining in familiar surroundings near friends and family. That reasoning applies with equal force here. Remaining in Anchorage allows the children to maintain their school enrollment, their friendships, their extracurricular commitments, and their relationships with Maria and with extended family, all without the upheaval of a long-distance move.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Children's Physical,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requires the court to consider the physical, emotional, mental, religious, and social needs of the child. Children of school age benefit from stable peer relationships, consistent academic environments, and ongoing participation in community activities. Transferring the children to a new city, a new school, and an entirely new social environment imposes costs on their emotional and social development that must be weighed seriously. Maria's continued residence in Anchorage means that granting her primary physical custody imposes no such disruption. The children remain where they are, with the parent who is already present in their community.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Each Parent's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evaluate the capability and desire of each parent to meet the children's needs. Maria has been actively involved in the children's lives throughout the post-divorce period, exercising her visitation regularly and maintaining close relationships with both children. She remains in Anchorage, is available on a daily basis, and is positioned to provide the consistent parental presence that children require. Elena, by contrast, has chosen to accept a permanent position that removes her from the children's community. While Elena's career decision is not inherently blameworthy, it does speak to the practical reality that she will not be physically present in Anchorage to address the children's day-to-day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Willingness to Facilitate the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Maria does not seek to eliminate Elena from the children's lives. To the contrary, she proposes that Elena receive extended summer visitation and regular video contact during the school year. This proposal reflects a genuine commitment to preserving the children's bond with Elena while minimizing the disruption of relocation. Maria's position is not adversarial toward Elena's parental role; it is designed to protect the children's stability while ensuring that both parents remain engaged.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Shared Custody Factors Further Support Maria's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Even beyond the best interests factors of AS 25.24.150(c), the factors applicable to shared and modified custody arrangements under AS 25.20.090 reinforce the conclusion that Anchorage is the appropriate primary residence for the children. AS 25.20.090(3) directs the court to consider the stability of the home environment likely to be offered by each parent. AS 25.20.090(5) directs the court to consider the advantages of keeping the child in the community where the child presently resides. AS 25.20.090(6)(B) and (C) require consideration of the proximity of each parent to the other and to the school in which the child is enrolled, as well as the feasibility of travel between the parents. A distance of 600 miles between Anchorage and Juneau is substantial, and travel between the two cities requires either air travel or extended surface travel, making frequent physical exchanges impractical. These logistical realities weigh in favor of designating Anchorage as the children's primary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Proposed Visitation Structure Serves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modification Maria proposes is proportionate and child-centered. Elena would retain a meaningful and substantial role in the children's lives through extended summer visitation and regular electronic contact. The Alaska Supreme Court has acknowledged in Iverson v. Griffith, 180 P.3d 943 (Alaska 2008) that custody arrangements must be evaluated in light of actual and practical living circumstances, including the ability of each parent to be physically present and involved. A schedule that provides Elena with extended summer time and regular video contact allows her to remain a loving, active parent while acknowledging the geographic realities created by her career move.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Court requires expert assistance in evaluating the children's adjustment, emotional needs, or best interests in light of the relocation, Alaska R. Evid. 706(a) authorizes the court to appoint an expert witness on its own motion or on the motion of any party. A custody evaluator appointed under this provision could assess the children's needs, the quality of each parent's home environment, and the likely effects of the proposed modification, providing the Court with neutral and informed guidance.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primary physical custody to Maria, the existing child support arrangement must be recalculated to reflect the changed custody designation. Under Civil Rule 90.3(a), a child support award in a case in which one parent is awarded primary physical custody is calculated by multiplying the non-custodial parent's adjusted annual income by the applicable percentage: 20% for one child and 27% for two children. Upon the transfer of primary physical custody to Maria, Elena would become the non-custodial parent for purposes of this calculation, and her child support obligation should be determined accordingly. The Court should enter an updated support order consistent with Civil Rule 90.3(a) at the time it enters any modified custody order.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Sutter's permanent relocation to Juneau constitutes a material change in circumstances under AS 25.20.110(a) that requires this Court to reconsider the existing custody arrangement. When the best interests factors of AS 25.24.150(c) are applied to the present circumstances, the evidence supports transferring primary physical custody of the parties' two minor children to Maria Sutter. The children have lived in Anchorage throughout their lives and are enrolled in school, engaged in extracurricular activities, and connected to extended family there. Maria remains in Anchorage and is fully capable of providing the children with a stable, nurturing home. The modification Maria proposes preserves Elena's meaningful role in the children's lives through extended summer visitation and regular video contact, while sparing the children the disruption of a 600-mile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these reasons, Maria Sutter respectfully requests that this Court enter an order: (1) finding that a material change in circumstances has occurred; (2) transferring primary physical custody of the minor children to Maria Sutter; (3) awarding Elena Sutter extended summer visitation and regular electronic contact during the school year; and (4) recalculating child support in accordance with Civil Rule 90.3(a) based on the modified custody designation.</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2026-08-16T22:15:13.106Z</dcterms:created>
  <dcterms:modified xsi:type="dcterms:W3CDTF">2026-08-16T22:15:13.106Z</dcterms:modified>
</cp:coreProperties>
</file>

<file path=docProps/custom.xml><?xml version="1.0" encoding="utf-8"?>
<Properties xmlns="http://schemas.openxmlformats.org/officeDocument/2006/custom-properties" xmlns:vt="http://schemas.openxmlformats.org/officeDocument/2006/docPropsVTypes"/>
</file>