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(doc-0107)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Bergstrom respectfully moves this Court to modify the existing child custody order entered in 2021, which currently awards primary physical custody of the parties' two minor children to Sarah Bergstrom. Since the entry of that order, a substantial change in circumstances has occurred that warrants reconsideration of the custodial arrangement. Elena Bergstrom has significantly improved her housing, financial stability, and employment situation, relocating to a three-bedroom home within the children's school district and securing stable full-time employment as a hospital administrator in Anchorage. Meanwhile, Sarah Bergstrom has accepted a position that requires her to travel for up to three weeks per month, leaving the children in the care of a rotating series of caregivers in her absence, rather than offering the children time with their other parent. These concurrent developments, taken together, constitute a substantial change in circumstances affecting the children's welfare. Modification of the custody order to award Elena Bergstrom primary physical custody, with Sarah Bergstrom receiving scheduled parenting time consistent with her availability, is in the best interests of the children. Elena Bergstrom therefore respectfully requests that the Court grant this Motion to Modify Custody.</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Bergstrom and Sarah Bergstrom were divorced in 2021 pursuant to a Superior Court order that awarded Sarah Bergstrom primary physical custody of their two minor children. Under the existing order, Elena Bergstrom is entitled to alternating weekend visitation from Friday evening through Sunday evening, as well as two weeks of uninterrupted summer parenting time. Since the entry of the 2021 order, the circumstances of both parties have changed materially.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Bergstrom has undertaken significant and sustained efforts to improve her situation for the benefit of the children. She completed a vocational retraining program and subsequently obtained stable, full-time employment as a hospital administrator in Anchorage. Concurrent with this professional advancement, Elena Bergstrom relocated from Wasilla to a three-bedroom home located within the same school district that the children currently attend. This relocation places Elena Bergstrom in close proximity to the children's established school community, their friends, and their extracurricular activities. Her improved housing provides each child with adequate space and a stable, comfortable home environment. Her financial situation has likewise improved substantially, enabling her to meet the children's physical, emotional, and educational needs on a consistent and reliable basis.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circumstances of Sarah Bergstrom have changed in a materially different direction. Sarah Bergstrom accepted a new employment position that requires her to travel for up to three weeks per month. During these extended absences, the children are not placed in Elena Bergstrom's care. Instead, they are placed with a series of rotating caregivers. This arrangement deprives the children of consistent and stable adult supervision, creates unpredictability in the children's daily routines, and has raised documented concerns about the children's emotional well-being. The children are, in effect, being cared for by individuals who may be strangers or near-strangers to them for the majority of any given month, despite the fact that their other parent is available, willing, and well-situated to provide primary care.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Bergstrom now petitions this Court to modify the existing custody order to award her primary physical custody, with Sarah Bergstrom receiving scheduled parenting time during periods when her work travel does not interfere with the children's care.</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an existing award of custody may be modified when the court determines that a change in circumstances requires the modification and the modification is in the best interests of the child. Alaska courts have consistently held that a parent seeking modification must satisfy a two-step threshold inquiry before the court may grant relief. First, the moving parent must establish a substantial change in circumstances affecting the children's welfare. Second, if such a change is demonstrated, the court must then determine whether the requested modification serves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confirmed this two-step process in Long v. Long, 816 P.2d 145 (Alaska 1991), which held that the parent seeking modification bears the burden of proving a substantial change in circumstances as a threshold matter, and that only upon satisfying that threshold does the court proceed to evaluate the children's best interests. This framework was reaffirmed in Laramie Rainer v. Ryan Poole, 510 P.3d 476 (Alaska 2022), which explained that the substantial change requirement is intended to discourage continual relitigation of custody orders and to protect the emotional welfare of children by providing finality and certainty in custody matters. The court in Laramie Rainer v. Ryan Poole further explained that the change must affect the children's welfare and must reflect more than the mere passage of time, and that courts measure current circumstances against the baseline that existed at the time of the most recent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the threshold showing is made, the court evaluates the best interests of the children under AS 25.24.150(c), which directs the court to consider a comprehensive set of factors including the physical, emotional, mental, religious, and social needs of the child; the capability and desire of each parent to meet those needs; the length of time the child has lived in a stable, satisfactory environment and the desirability of maintaining continuity; and the willingness and ability of each parent to facilitate a close and continuing relationship between the other parent and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25.20.070 provides that, unless it would be detrimental to the child's welfare, the child shall have, to the greatest degree practical, equal access to both parents during the period in which the court considers a custody award. The existing arrangement, under which the children are placed with rotating caregivers rather than with their available parent, undermines this statutory directive.</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Elena Bergstrom Has Demonstrated a Substantial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combined and concurrent changes in the circumstances of both parties since entry of the 2021 custody order constitute a substantial change in circumstances within the meaning of AS 25.20.110(a). Courts applying this standard look to whether the change affects the children's welfare and reflects something more than the passage of time. Laramie Rainer v. Ryan Poole, 510 P.3d 476 (Alaska 2022). Here, both prongs of that inquiry are satisfied.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Sarah Bergstrom's acceptance of a position requiring up to three weeks of travel per month is a material change from the circumstances that existed at the time of the 2021 order. At that time, the court presumably found Sarah Bergstrom capable of exercising primary physical custody on an ongoing and consistent basis. That finding no longer reflects current reality. Sarah Bergstrom is now absent from the home for the majority of most months, and the children are not being cared for by their other parent during those absences. Instead, they are placed with a rotating series of caregivers. This recurring instability in the children's daily lives goes to the heart of their physical, emotional, and social well-being, and is precisely the type of change that courts have found sufficient to justify further inquiry. In Ebertz v. Ebertz, 113 P.3d 643 (Alaska 2005), the Alaska Supreme Court recognized that extended physical absence of the primary custodial parent is a relevant and significant circumstance in assessing the children's living situation. In Hope P. v. Flynn G., 355 P.3d 559 (Alaska 2015), the court similarly recognized that a significant change in a parent's work schedule and availability constitutes a relevant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Elena Bergstrom's dramatically improved circumstances since the 2021 order support the finding of a substantial change. She has completed vocational retraining, obtained full-time stable employment as a hospital administrator, and relocated to a larger, more suitable home within the children's school district. These are not trivial changes. They represent a fundamental improvement in Elena Bergstrom's ability to provide the children with physical stability, financial security, and educational continuity. Courts consider such improvements to a parent's circumstances as relevant in evaluating whether modification is warranted. Alisa Burns v. John Everett Burns, 466 P.3d 352 (Alaska 2020).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change is not merely a matter of time passing. The children are currently experiencing instability in their primary caretaking arrangement on a recurring, monthly basis, and the parent best positioned to provide them with consistency and continuity is the parent receiving only weekend visitation. Taken together, these changes are substantial and directly affect the children's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Modification to Award Elena Bergstrom Primary Physical Custody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Upon a finding of a substantial change in circumstances, the court must determine whether modification is in the children's best interests under AS 25.24.150(c). An analysis of the relevant statutory factors demonstrates that awarding Elena Bergstrom primary physical custody is in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Children's Physical, Emotional, Mental, and Social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25.24.150(c)(1), the court considers the physical, emotional, mental, religious, and social needs of the child. The documented concerns regarding the children's consistency of care and emotional well-being, arising from their placement with a rotating series of caregivers, directly implicate this factor. Children require consistency and predictability in their primary caretaking relationships. The current arrangement, in which Sarah Bergstrom is absent for up to three weeks per month and the children are cared for by different individuals during those absences, fails to provide that consistency. Elena Bergstrom, by contrast, maintains a stable home in the children's school district and is available on a full-time basis to attend to the children's daily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Capability and Desire of Each Parent to Meet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25.24.150(c)(2), the court considers the capability and desire of each parent to meet the children's needs. Elena Bergstrom has demonstrated a concrete and sustained commitment to improving her capacity to parent. She completed a vocational retraining program, secured stable employment, and relocated to a home that provides each child with adequate space. Her actions reflect both the desire and the growing capability to serve as the children's primary caregiver. Sarah Bergstrom, while presumably capable during periods when she is present, is structurally unavailable for the majority of most months due to her travel obligations. The question is not whether Sarah Bergstrom is a devoted parent, but whether the current arrangement places the children's day-to-day care in the hands of the parent who is consistently available to provide 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Stability, Continuity, and the Children's Established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25.24.150(c)(5), the court considers the length of time the child has lived in a stable, satisfactory environment and the desirability of maintaining continuity. In Blanton v. Yourkowski, 180 P.3d 948 (Alaska 2008), the Alaska Supreme Court addressed the relevance of stability and continuity in custody determinations, recognizing that this factor encompasses not only physical location but also the quality and consistency of the caregiving environment. Elena Bergstrom's home is located within the same school district the children already attend, meaning that modification of custody would not disrupt the children's schooling, friendships, or extracurricular activities. It would, however, provide the children with a consistent and stable primary caregiver in place of a rotating series of individuals. The stability factor supports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Each Parent's Willingness to Foster the Children's Relationship with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25.24.150(c)(6), the court considers the willingness and ability of each parent to facilitate and encourage a close and continuing relationship between the other parent and the child. Elena Bergstrom's proposed modification expressly contemplates that Sarah Bergstrom will receive scheduled parenting time during periods when her work travel does not interfere with the children's care. This approach demonstrates Elena Bergstrom's willingness to support the children's ongoing relationship with their mother. In contrast, the current arrangement does not result in the children spending their mother's absence with their other parent. Rather than maximizing the children's time with an available, loving parent, the current arrangement places them with third-party caregivers. The Alaska Supreme Court emphasized the importance of facilitating parental relationships in Alisa Burns v. John Everett Burns, 466 P.3d 352 (Alaska 2020), holding that a parent's failure to support the children's relationship with the other parent weighs heavily in a best interests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Children's Access to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25.20.070 provides that, unless it is shown to be detrimental to the welfare of the child considering the factors under AS 25.24.150(c), or unless the presumption under AS 25.24.150(g) is present, the child shall have, to the greatest degree practical, equal access to both parents during the time that the court considers an award of custody. The present arrangement fails this standard. The children are spending the majority of their time not with either parent, but with rotating caregivers. A modified order that awards Elena Bergstrom primary physical custody, with Sarah Bergstrom receiving parenting time coordinated around her availability, would more accurately ensure that the children have meaningful access to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Child Support Should Be Recalculated Following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connection with any modification of primary physical custody, the Court should also recalculate child support in accordance with Civil Rule 90.3(a), which governs the calculation of child support in cases where one parent is awarded primary physical custody. Under that rule, the child support award is calculated as an amount equal to the adjusted annual income of the non-custodial parent multiplied by the applicable percentage: twenty percent for one child and twenty-seven percent for two children, with adjusted annual income determined by subtracting applicable mandatory deductions and permissible voluntary deductions from the parent's total income from all sources. Should the Court modify custody, the existing support order will require corresponding adjustment. Under Civil Rule 90.3(h)(1), a modification of child support may be sought upon a showing of a material change of circumstances, and a material change of circumstances is presumed when support as calculated under the rule is more than fifteen percent greater or less than the outstanding support order. A change in the custodial designation will virtually certainly produce such a variance, triggering the presumption and warranting recalculation.</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Elena Bergstrom respectfully requests that this Court find that a substantial change in circumstances has occurred since entry of the 2021 custody order, and that modification of the existing order to award Elena Bergstrom primary physical custody is in the best interests of the parties' two minor children. Elena Bergstrom further requests that the Court award Sarah Bergstrom scheduled parenting time during periods when her employment travel does not conflict with the children's care, and that the Court recalculate the child support obligation in accordance with Civil Rule 90.3(a) to reflect the modified custodial arrangement. Elena Bergstrom also requests any further relief the Court deems just and appropriate under the circumstances.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2026-08-16T22:16:33.637Z</dcterms:created>
  <dcterms:modified xsi:type="dcterms:W3CDTF">2026-08-16T22:16:33.637Z</dcterms:modified>
</cp:coreProperties>
</file>

<file path=docProps/custom.xml><?xml version="1.0" encoding="utf-8"?>
<Properties xmlns="http://schemas.openxmlformats.org/officeDocument/2006/custom-properties" xmlns:vt="http://schemas.openxmlformats.org/officeDocument/2006/docPropsVTypes"/>
</file>