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Bergstrom respectfully petitions this Court to modify the existing child custody order entered in 2021, which awarded Elena Bergstrom primary physical custody of the parties' two minor children, ages seven and nine. Since the entry of that order, Elena has unilaterally relocated with the children from Anchorage to Juneau, a distance of approximately 600 miles, without seeking prior court approval and without providing adequate notice to Michael. This relocation has rendered Michael's current parenting time schedule effectively impossible to exercise and has substantially disrupted the children's relationship with their father. Alaska law is clear that a parent's relocation out of the area constitutes a significant change in circumstances warranting a best-interests hearing, and the facts presented here compel a modification of the existing order. Michael respectfully requests that this Court grant him primary physical custody of the children, with Elena receiving parenting time during school breaks and summer vacation.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and Michael Bergstrom were divorced in 2021 by order of the Superior Court for the State of Alaska. The 2021 custody order granted Elena primary physical custody of the parties' two minor children, currently ages seven and nine. Under that order, Michael was awarded parenting time every other weekend and one weeknight per week. Both parties resided in Anchorage at the time the order was entered, and the parenting schedule was structured around that geographic proximity.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January 2024, Elena accepted a permanent job transfer to Juneau, Alaska, and relocated with the children to that city without first seeking modification of the custody order and without obtaining Michael's written consent or a court order authorizing the move. Juneau is located approximately 600 miles from Anchorage and is accessible only by air or sea travel. No road connects the two cities.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result of this relocation, Michael's court-ordered parenting time schedule, consisting of alternating weekends and one weeknight per week, has become functionally impossible to exercise. Round-trip airfare between Anchorage and Juneau is costly, and the logistical burden of transporting minor children of these ages on a biweekly basis presents a substantial hardship. Michael continues to reside and work in Anchorage and has maintained consistent efforts to remain involved in his children's lives despite these obstacles.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now petitions this Court for a modification of the existing custody order, seeking primary physical custody of the children, with Elena receiving parenting time during school breaks and summer vacation.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existing award of custody or visitation may be modified when the court determines that a change in circumstances requires modification and that modification is in the best interests of the child. This two-part test requires the moving party to first establish a significant change in circumstances, and then to demonstrate that modification serves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the court considers the factors enumerated in AS 25.24.150(c), including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parent's relocation out of the area in which the custody order was entered may constitute a significant change in circumstances sufficient to trigger a best-interests analysis. Nelson v. Nelson, 263 P.3d 49 (Alaska 2011); Barrett v. Alguire, 35 P.3d 1 (Alaska 2001). Once a change of circumstances is established, the court proceeds to a full inquiry under AS 25.24.150(c).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ELENA'S UNILATERAL RELOCATION TO JUNEAU CONSTITUTES A SIGNIFICANT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custody modification is the existence of a significant change in circumstances affecting the children's best interests. AS 25.20.110(a). The Alaska Supreme Court has recognized that a parent's relocation out of the area constitutes a significant change in circumstances as a matter of law, sufficient to warrant a hearing on the children's best interests. Barrett v. Alguire, 35 P.3d 1 (Alaska 2001);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Barrett v. Alguire, 35 P.3d 1 (Alaska 2001), the court found that one parent's move to another state constituted a material change of circumstances warranting a hearing on the best-interests factors. The court further found that the move had uprooted the children from a stable environment and impaired the other parent's ability to maintain a meaningful parental relationship, factors that weighed in favor of custody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Elena's permanent relocation to Juneau is not a temporary disruption but a lasting change in the children's place of residence. Unlike the situation addressed in Nelson v. Nelson, 263 P.3d 49 (Alaska 2011), where both parties had expressly contemplated and planned for the possibility of a parent relocating and had incorporated such a contingency into their custody agreement, no such provision exists in the 2021 order here. The relocation was entirely unilateral, unannounced in advance, and effected without any court authorization. Michael had no opportunity to seek a modification before the children were removed from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practical consequence of this move is that the parenting schedule ordered in 2021, which was calibrated to the reality of both parents living in the same city, has been rendered completely unworkable. Michael cannot exercise alternating-weekend parenting time when doing so requires expensive and logistically complex air or sea travel between Anchorage and Juneau. The destruction of Michael's ability to exercise his court-ordered parenting time is itself a change in circumstances of the most material kind, because it directly affects the children's opportunity to maintain a meaningful relationship with their father. This Court should find that Elena's unilateral relocation constitutes a significant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THE CHILDREN FAVOR MODIFICATION OF CUSTODY TO AWARD MICHAEL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of circumstances is established, the court must determine whether modification serves the best interests of the children, applying the factors set forth in AS 25.24.150(c). An analysis of those factors demonstrates that awarding Michael primary physical custody, with Elena receiving parenting time during school breaks and summer vacation, is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ages seven and nine, are at formative stages of development. Their emotional and social well-being requires stability, routine, and meaningful contact with both parents. Under the current arrangement, the children are deprived of regular, consistent contact with Michael. Infrequent contact driven by travel constraints is not a substitute for the active, day-to-day parental involvement that the 2021 order was designed to preserve. Relocating the children to Anchorage, where Michael resides, would restore a stable schedule that allows both parents to participate in the children's daily lives and activities.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Each Parent's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has consistently exercised his parenting time to the extent logistically possible since the relocation and has demonstrated a strong desire to remain actively involved in his children's upbringing. His continued residence and employment in Anchorage provide a stable home base. Elena, while employed in Juneau, remains capable of exercising meaningful parenting time during scheduled school vacations and summer months, ensuring the children maintain their bond with her as well.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Willingness and Ability of Each Parent to Facilitate the Other's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factor weighs heavily in Michael's favor. AS 25.24.150(c)(6) directs the court to consider each parent's willingness and ability to facilitate and encourage a close and continuing relationship between the other parent and the children. Elena's unilateral relocation, without prior court approval and without notice sufficient for Michael to seek legal relief before the move occurred, reflects a failure to give adequate weight to Michael's parental relationship. In contrast, Michael's proposed arrangement expressly provides Elena with extended and meaningful parenting time during school breaks and summer vacation, demonstrating his willingness to foster the children's relationship with their mother.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recognized in Rego v. Rego, 259 P.3d 447 (Alaska 2011), a parent's decision to relocate without adequate notice or planning for the effect on the other parent's relationship with the children is a factor bearing on the best-interests analysis. The court in that case evaluated both the legitimacy of the relocating parent's reasons and the credibility of the parent's account of how and when the relocation decision was made.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Sheffield v. Sheffield, 265 P.3d 332 (Alaska 2011), the court enforced a parenting plan provision requiring advance written notice and consent before either parent could permanently remove children from a geographic area. Although the facts here differ in that the 2021 order contains no express relocation provision, the principle underlying Sheffield supports Michael's position: a parent's unilateral and undisclosed relocation undermines the integrity of the existing custody order and warrants judicial intervention to protect the non-relocating parent's rights and the children's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Desirability of Maintaining Continuity and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have spent the majority of their lives in Anchorage, where extended family, school records, medical providers, and community ties are located. Elena's relocation introduced a disruption in the children's lives that was not sought, planned, or approved by Michael or the Court. Restoring the children's residence to Anchorage would reconnect them with a familiar community and restore the continuity that the existing order was designed to protect.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failure to seek court approval before relocating the children is itself a relevant factor. Under AS 25.20.110(a), custody modifications are subject to court oversight precisely to prevent either parent from unilaterally altering the arrangement in ways that harm the children or deprive the other parent of court-ordered parenting time. Allowing such conduct to go unaddressed would undermine the authority of this Court and provide a perverse incentive for custodial parents to relocate without authorization.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PROPOSED MODIFIED ORDER SERVES THE CHILDREN'S BEST INTERESTS AND SHOULD BE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proposes that this Court enter a modified order granting him primary physical custody of the children during the school year, with Elena exercising parenting time during Thanksgiving break, winter break, spring break, and the full summer vacation period, subject to reasonable travel coordination between the parties. This arrangement ensures that the children maintain a meaningful bond with both parents, restores stability and routine during the school year, and reflects a workable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90.3(b), any modification to the parenting schedule with shared or adjusted custody time will require a corresponding recalculation of child support obligations. Michael respectfully requests that the Court address child support consistent with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Michael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Elena Bergstrom's unilateral relocation to Juneau constitutes a significant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Conduct a best-interests hearing pursuant to AS 25.24.150(c) if the Court requires additional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modified custody order granting Michael Bergstrom primary physical custody of the minor children during the school year, with Elena Bergstrom receiving parenting time during school breaks and summer vacation as set forth above;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Recalculate child support obligations consistent with the modified custody arrangement pursuant to Civil Rule 90.3(b);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relief as this Court deems just and equitable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2026-08-16T22:17:36.962Z</dcterms:created>
  <dcterms:modified xsi:type="dcterms:W3CDTF">2026-08-16T22:17:36.962Z</dcterms:modified>
</cp:coreProperties>
</file>

<file path=docProps/custom.xml><?xml version="1.0" encoding="utf-8"?>
<Properties xmlns="http://schemas.openxmlformats.org/officeDocument/2006/custom-properties" xmlns:vt="http://schemas.openxmlformats.org/officeDocument/2006/docPropsVTypes"/>
</file>