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Tomas Nakamura respectfully submits this brief in support of his motion to modify the existing child custody order entered in 2021, which awarded primary physical custody of the parties' two minor children to Respondent Maria Nakamura. Since entry of that order, circumstances affecting the children's daily welfare have changed materially and substantially. Tomas has relocated to Anchorage, Alaska, where he holds a stable, permanent position and can provide the children with a secure, appropriate home. Maria, by contrast, has lost her employment and has moved with the children into a one-bedroom apartment where she resides alongside an unrelated adult male with a documented history of domestic violence. These developments, taken together, satisfy the threshold showing of changed circumstances required by Alaska law and compel this Court to undertake a fresh best-interests analysis. Upon conducting that analysis, the Court should transfer primary physical custody of the children to Tomas. In the alternative, Tomas requests that the Court enter a 90-day interim protective order barring the unrelated adult male from residing in, or regularly staying overnight at, any residence shared with the children pending a full evidentiary hearing on this petition.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Superior Court entered a custody order in 2021 dissolving the marriage of Tomas Nakamura and Maria Nakamura. That order awarded Maria primary physical custody of the parties' two minor children. Tomas received parenting time on alternating weekends and every Wednesday evening. At the time the order was entered, both parties resided in Juneau, Alaska.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the following material changes have occurred. First, Tomas accepted a permanent employment position in Anchorage and has relocated there. His Anchorage residence is stable, appropriate in size, and suitable for the children to reside with him on a primary basis. Second, Maria has lost her employment. As a result, she and the two children now share a one-bedroom apartment with an unrelated adult male. That individual has a documented history of domestic violence. The children are therefore living in close, daily physical proximity to a person whose history of perpetrating violence is a matter of record.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living arrangement exposes the children to a household in which one adult has a documented history of violence against intimate partners or family members. The one-bedroom apartment requires the children to share limited sleeping quarters with or in close proximity to this individual on a regular basis. Maria has not sought court approval for this housing arrangement, nor has she disclosed it voluntarily to Tomas. Tomas learned of the situation through independent means and promptly brought this petition.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is prepared to provide the children with stable, adequate housing in Anchorage. He maintains steady income from his permanent position. He is willing and able to facilitate continued contact between the children and Maria, including regular visitation consistent with the children's schedules and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modification of a child custody or visitation award when the court determines that a change in circumstances requires the modification and the modification is in the best interests of the child. AS 25.20.110(a) provides: "An award of custody of a child or visitation with the child may be modified if the court determines that a change in circumstances requires the modification of the award and the modification is in the best interests of the child. If a parent opposes the modification of the award of custody or visitation with the child and the modification is granted, the court shall enter on the record its reason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change-in-circumstances requirement is a threshold showing designed to prevent repeated relitigation of custody decisions. Laramie Rainer v. Ryan Poole, 510 P.3d 476 (Alaska 2022). Courts compare current facts to the baseline circumstances that existed at the time of the prior custody order. Id. A change is substantial when it affects the children's welfare and reflects more than the mere passage of time.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undertakes a full best-interests analysis pursuant to AS 25.24.150(c). That statute directs the court to consider, among other factors: the physical, emotional, mental, religious, and social needs of the child; the capability and desire of each parent to meet those needs; the child's preference if the child is of sufficient age and capacity;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in the proposed custodial household or a history of violence between the parents; and evidence that substance abuse by either parent or other household members directly affects the emotional or physical well-being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Of particular significance here, AS 25.24.150(g) provides: "There is a rebuttable presumption that a parent who has a history of perpetrating domestic violence against the other parent, a child, or a domestic living partner may not be awarded sole legal custody, sole physical custody, joint legal custody, or joint physical custody of a child." Although that presumption addresses a parent's own history, it reflects the Legislature's overarching recognition that documented domestic violence in a child's household is a weighty consideration in any best-interests determination. The Alaska Supreme Court has reinforced this principle in Barrett v. Alguire, 35 P.3d 1 (Alaska 2001), where the court held that the best-interests factors of AS 25.24.150(c), including alcohol abuse that a parent denied, supported modifying custody when the custodial parent's choices created instability for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evaluating shared custody as an alternative arrangement, AS 25.20.090 directs the court to consider, among other things, the stability of the home environment likely to be offered by each parent, any evidence of domestic violence in the proposed custodial household, and evidence that substance abuse or other household conditions directly affect the child's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 SUBSTANTIAL CHANGE OF CIRCUMSTANCES EXISTS WARRANTING A MODIFICATION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first inquiry under AS 25.20.110(a) is whether a substantial change in circumstances has occurred since entry of the 2021 custody order. The answer here is plainly yes, based on two independent developments: the change in each party's residential and financial circumstances, and the introduction of a person with a documented history of domestic violence into the children's primary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of the 2021 order, both parents resided in Juneau, both were employed, and there is no indication in the record that any individual with a history of domestic violence shared the children's home. Each of those baseline facts has changed. Tomas has relocated to Anchorage and holds a permanent position there. Maria has lost her employment and moved with the children into a one-bedroom apartment shared with an unrelated adult male who has a documented history of domestic violence. These are not minor or incidental changes. They strike directly at the stability of the children's home and the safety of their daily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made clear that courts compare current circumstances against the baseline established by the prior order. Laramie Rainer v. Ryan Poole, 510 P.3d 476 (Alaska 2022). A change qualifies as substantial when it meaningfully affects the children's welfare. Id. The introduction of a person with a violent history into the home where two children sleep and live every day is precisely the kind of change that affects children's welfare in a direct and concrete way.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25.20.110(c) specifies that "a finding that a crime involving domestic violence has occurred since the last custody or visitation determination is a finding of change of circumstances" under AS 25.20.110(a). While Tomas does not allege that a new crime of domestic violence has occurred in the home to date, the documented history of the unrelated adult male is directly relevant to the court's assessment of changed circumstances affecting the children's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Moore v. McGillis, 408 P.3d 1196 (Alaska 2018), confirms that deteriorating living conditions and safety concerns in the custodial home can establish the requisite change in circumstances to support a custody modification hearing. Similarly, in Wells v. Barile, 358 P.3d 583 (Alaska 2015), the court affirmed that a finding of danger to minor children based on the custodial parent's choices, including circumstances creating risk in the home environment, justified modification of a prior custody order and restriction of the custodial parent's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therefore satisfies the threshold requirement of demonstrating a substantial change in circumstances. The Court should proceed to a full best-interests analysis.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PRIMARY PHYSICAL CUSTODY TO TOMAS IS IN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the threshold of changed circumstances is crossed, the Court must determine whether modification is in the children's best interests under AS 25.24.150(c). The factors articulated in that statute, applied to the present facts, weigh in favor of transferring primary physical custody to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and Emotional Needs Favor Transfer.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directs the court to consider the physical, emotional, mental, religious, and social needs of the child. Children require safe, stable, and adequately sized housing. The current situation, in which two children share a one-bedroom apartment with their mother and an unrelated adult male who has a documented history of domestic violence, does not meet this standard. The physical limitations of the space alone raise concerns about the children's privacy, rest, and daily functioning. The presence of an individual with a violent history in that confined space compounds the concern substantially.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Tomas, by contrast, resides in Anchorage in a stable home with a permanent income. He is positioned to provide the children with consistent, safe, and appropriate housing. The Court should weigh this disparity heavily under factor (1) of the best-interests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Each Parent's Capability and Desire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directs the court to assess the capability and desire of each parent to meet the children's needs. Tomas has demonstrated both. He maintains stable employment, has established a suitable residence, and has taken prompt legal action to protect the children upon learning of their current circumstances. These are the actions of a parent who is capable and motivated.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current circumstances, through no necessary fault of her own in terms of job loss, have nonetheless resulted in a living situation that does not adequately meet the children's needs for safety and space. The critical issue is not that Maria lost her job. The critical issue is that the resulting housing arrangement places the children in daily contact with an individual whose documented violent history creates foreseeable risk.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of the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and AS 25.20.090(3) both require the court to consider the stability of the home environment each parent is likely to offer. Tomas offers a permanent residence supported by steady employment. The children's current home with Maria is marked by financial instability following her job loss and the introduction of a third-party adult with a history of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While courts generally favor continuity of custody, that preference yields when the existing arrangement no longer serves the children's welfare. The Alaska Supreme Court recognized this principle in Barrett v. Alguire, 35 P.3d 1 (Alaska 2001), where the instability created by the custodial parent's choices, including denial of harmful behavior patterns, justified a custody modification even though it disrupted the children's existing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Domestic Violence in the Proposed Custodial Household.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25.24.150(c)(7) requires the court to consider any evidence of domestic violence, child abuse, or child neglect in the proposed custodial household or a history of violence between the parents. This factor is central to Tomas's petition. The unrelated adult male currently residing with Maria and the children has a documented history of domestic violence. The children are not merely in incidental contact with this individual. They share a one-bedroom apartment with him. They are present with him daily.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Legislature's concern with domestic violence in a child's residential environment runs throughout the Alaska family law statutes. AS 25.24.150(g) establishes a rebuttable presumption against awarding custody to a parent with a history of perpetrating domestic violence. AS 25.20.061 authorizes the court to impose conditions on visitation, including supervised exchange and restrictions on overnight contact, when domestic violence has occurred. AS 18.66.100(c)(9) permits a court, in the context of a protective order, to award temporary custody and arrange visitation subject to safety conditions. Taken together, these provisions reflect a legislative judgment that the presence of a person with a history of violence in a child's daily home environment is not a circumstance courts should minimize or defer addressing.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Stephanie F. v. George C., 270 P.3d 737 (Alaska 2012), the Alaska Supreme Court engaged in close analysis of the domestic violence provisions of AS 25.24.150 and underscored that courts must apply the statutory framework carefully when domestic violence is present in the record. The Court made clear that findings related to domestic violence carry significant weight in the best-interests determination. Here, the domestic violence history is not alleged, it is documented. The Court should act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considers each parent's willingness and ability to facilitate a close and continuing relationship between the children and the other parent. Tomas has affirmatively stated his willingness to facilitate Maria's parenting time and continued relationship with the children. His petition does not seek to eliminate Maria's parenting time. It seeks to ensure the children reside primarily in a safe environment while preserving Maria's ability to remain a meaningful presence in their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custody arrangement transferring primary physical custody to Tomas, with generous parenting time for Maria, would serve this factor. Courts have consistently held that the parent seeking modification does not undermine this factor simply by requesting a change when safety concerns compel 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The Preference for Continuity Does Not Outweigh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Although courts respect continuity in custody arrangements, that preference is not absolute. In Deininger v. Deininger, 835 P.2d 449 (Alaska 1992), the Alaska Supreme Court recognized that trial courts have broad discretion to fashion custody arrangements designed to meet the unique needs of the individuals involved, including phased or adjusted arrangements that account for changing family circumstances. In Barile v. Barile, 179 P.3d 944 (Alaska 2008), the court affirmed that a new stepfamily, changed living conditions, and concerns about the child's welfare within the custodial home were among the circumstances that could support modification. The preference for continuity is a factor to weigh, not a barrier to modification when the children's welfare is implicated.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IN THE ALTERNATIVE, THE COURT SHOULD ENTER A 90-DAY INTERIM PROTECTIVE ORDER RESTRICTING THE UNRELATED ADULT'S PRESENCE IN THE CHILDREN'S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it cannot transfer primary physical custody at this stage pending a full evidentiary hearing, Tomas respectfully requests that the Court exercise its broad equitable authority to protect the children in the interim. Specifically, Tomas requests a 90-day interim order restricting the unrelated adult male from residing in or regularly staying overnight at any residence shared with the children until a full evidentiary hearing is completed.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18.66.100(c)(9) authorizes the court, in connection with a protective order, to award temporary custody of a minor child to the petitioner and to arrange for visitation with a minor child if the safety of the child and the petitioner can be protected. While this provision is framed in the protective order context, it illustrates the broad statutory authority Alaska courts possess to take interim action protecting children's safety when an adult with a documented history of domestic violence is present in their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25.20.061 authorizes courts, when visitation is awarded to a parent who has committed a crime involving domestic violence, to impose conditions including transfer of the child in a protected setting, supervised visitation, and other conditions necessary for the safety of the child. Although this provision addresses a parent's own conduct, it underscores the Legislature's recognition that contact between children and individuals with violent histories requires careful judicial management.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current daily exposure to an individual with a documented history of domestic violence in the confined space of a one-bedroom apartment represents the kind of ongoing risk that warrants interim relief. The Court need not wait for an incident of actual harm before acting. The purpose of interim protective relief in the family law context is to prevent harm, not merely to respond to it after the fact.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CHILD SUPPORT SHOULD BE RECALCULATED UPON ANY MODIFICATION OF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primary physical custody to Tomas, child support will require recalculation consistent with Civil Rule 90.3(a). Under Civil Rule 90.3(a), a child support award in a case in which one parent is awarded primary physical custody is calculated as an amount equal to the adjusted annual income of the non-custodial parent multiplied by the applicable percentage: 27% for two children under Civil Rule 90.3(a)(2)(B). The Court should order production of current income information from both parties and recalculate support accordingly.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instead orders a shared physical custody arrangement, support would be calculated pursuant to Civil Rule 90.3(b), which provides for an offset calculation based on each parent's adjusted annual income and the percentage of time the other parent has physical custody of the children. Civil Rule 90.3(c) authorizes the Court to vary the child support award for good cause upon proof by clear and convincing evidence that manifest injustice would result if the support award were not varied. Given Maria's current unemployment, the Court may also consider whether potential income should be imputed to her pursuant to Civil Rule 90.3(a)(4), which provides that the court may calculate child support based on a determination of the potential income of a parent who voluntarily and unreasonably is unemployed or underemployed.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circumstances confronting the children have changed materially since the 2021 custody order. Maria resides with the children in a one-bedroom apartment alongside an unrelated adult male with a documented history of domestic violence. Maria has lost her employment, and the resulting living situation does not meet the children's needs for safety, space, or stability. Tomas, by contrast, is permanently employed in Anchorage and maintains a suitable, stable home for the children. These changed circumstances satisfy the statutory threshold under AS 25.20.110(a) and call for a fresh best-interests analysis under AS 25.24.150(c). That analysis weighs decisively in favor of transferring primary physical custody to Tomas.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therefore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since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Conduct a full evidentiary hearing on Petitioner's motion to modify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Upon hearing, transfer primary physical custody of the minor children to Tomas Nakamura, with generous parenting time for Maria Nakamura;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 the alternative, enter a 90-day interim protective order barring the unrelated adult male from residing in or regularly staying overnight at any residence shared with the children pending the full evidentiary hearing;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Recalculate child support consistent with Civil Rule 90.3(a) or Civil Rule 90.3(b) as applicable following any modification of the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children's safety and well-being require prompt judicial attention. Petitioner respectfully urges the Court to act.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2026-08-16T22:21:55.412Z</dcterms:created>
  <dcterms:modified xsi:type="dcterms:W3CDTF">2026-08-16T22:21:55.412Z</dcterms:modified>
</cp:coreProperties>
</file>

<file path=docProps/custom.xml><?xml version="1.0" encoding="utf-8"?>
<Properties xmlns="http://schemas.openxmlformats.org/officeDocument/2006/custom-properties" xmlns:vt="http://schemas.openxmlformats.org/officeDocument/2006/docPropsVTypes"/>
</file>