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(doc-0113)</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brief is submitted on behalf of Wesley Larsen, Respondent and Cross-Petitioner, in opposition to Petitioner Renee Larsen's motion to restrict his visitation to supervised contact and in support of his cross-petition for a modification to equal shared physical custody of the parties' nine-year-old daughter, Mila Larsen. The existing custody order, entered by the Alaska Superior Court approximately two years ago, grants Renee primary physical custody with Wesley exercising visitation every other weekend and alternating holidays. Renee now seeks to strip Wesley of his existing visitation rights based on an unsubstantiated allegation of a single instance of intoxication and two occasions on which Mila returned home appearing distressed. Wesley respectfully urges this Court to deny Renee's motion and to grant his cross-petition for equal shared physical custody. The substantial, documented changes in Wesley's life since the last order was entered, including fourteen months of verified sobriety, successful completion of an inpatient treatment program, stable employment, and relocation to the same city where Mila lives and attends school, constitute precisely the kind of material change in circumstances that Alaska law recognizes as a basis for custody modification. Restricting Wesley's visitation, by contrast, would be unsupported by credible evidence and contrary to Mila's best interests.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were previously before this Court, which entered a custody order approximately two years ago granting Renee Larsen primary physical custody of Mila, now age nine. Under that order, Wesley Larsen exercises visitation every other weekend and on alternating holidays. At the time of that order, Wesley resided in Fairbanks while Renee and Mila resided in Anchorage, and Wesley was dealing with documented substance abuse issues that contributed to the limited visitation schedule he was awarded.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entry of that order, Wesley has undertaken and completed a 90-day inpatient substance abuse treatment program. He has maintained sobriety for a period of fourteen months, a fact verified through regular drug testing. Wesley has also secured stable employment as a licensed electrician and has relocated from Fairbanks to Anchorage, the city where Renee and Mila currently reside. His relocation places him in close proximity to Mila's school and her medical providers, substantially reducing the logistical barriers that existed at the time of the original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now petitions to modify the existing order to restrict Wesley's visitation to supervised contact only. In support of her petition, she alleges that Wesley appeared intoxicated during a single scheduled custody pickup and that Mila returned home appearing visibly distressed on two separate occasions following visits with Wesley. Wesley denies the allegation of intoxication and disputes that Mila's distress, to the extent it occurred at all, was caused by anything improper during his parenting time. Wesley cross-petitions for a modification to equal shared physical custody, arguing that his recovery, stability, proximity, and positive relationship with Mila constitute a substantial change in circumstances warranting a more balanced parenting arrangement in Mila's best interests.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25.20.110(a), a custody or visitation award may be modified only if the court determines that a change in circumstances requires the modification and that the modification is in the best interests of the child. Alaska courts have consistently required that the moving party demonstrate a substantial change in circumstances before the court reaches the best interests analysis. Havel v. Hogan, 216 P.3d 1142 (Alaska 2009). The modification must then be shown to serve the child's best interests under the factors set forth in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a parent seeks to restrict visitation rather than modify custody outright, the showing required is that the restriction serves the child's best interests, and the change in circumstances need not rise to the level required for a full custody modification. Havel v. Hogan, 216 P.3d 1142 (Alaska 2009). The court may impose conditions on visitation, including supervised contact, where a parent has committed a crime involving domestic violence within the preceding five years, but the court retains discretion under AS 25.20.914 to set conditions appropriate to the child's safety.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90.3(h)(1), a final child support award may be modified upon a showing of a material change in circumstances, and a material change is presumed when support as calculated under the rule differs from the outstanding order by more than fifteen percent. While child support is not the primary subject of this brief, any modification to the physical custody schedule will necessarily affect the applicable support calculation under Civil Rule 90.3(b), which governs shared physical custody arrangements.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determining whether to award shared custody, the court considers the factors set forth in AS 25.20.090, including the child's needs and preferences, the stability of each parent's home environment, the proximity of each parent to the child's school, the feasibility of travel between the parents, and any evidence of domestic violence, child abuse, or substance abuse. AS 25.20.070 further provides that, unless detrimental to the child's welfare or unless the domestic violence presumption under AS 25.24.150(g) applies, the child shall have, to the greatest degree practical, equal access to both parents while the court considers a custody award.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documented sobriety and successful completion of substance abuse treatment are significant factors in evaluating whether a previously limited visitation arrangement should be expanded. Kristina B. v. Edward B., 329 P.3d 202 (Alaska 2014). The court has also held that a custodial parent's pattern of interfering with the other parent's contact with the child may itself constitute a change in circumstances warranting modification. Hunter v. Conwell, 276 P.3d 413 (Alaska 2012).</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RENEE'S MOTION TO RESTRICT WESLEY'S VISITATION TO SUPERVISED CONTACT SHOULD BE DENIED BECAUSE SHE HAS FAILED TO ESTABLISH THE FACTUAL OR LEGAL BASIS REQUIRED FOR SUCH A RESTRICTION.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Renee's petition to reduce Wesley's existing visitation to supervised contact rests on two factual allegations: a single claim that Wesley appeared intoxicated during one pickup, and two instances in which Mila allegedly returned home appearing visibly distressed. Neither allegation, standing alone or in combination, satisfies the legal threshold for imposing supervised visitation on a parent who has demonstrated fourteen months of verified sobriety and successful completion of a 90-day inpatient treatment program.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permits the court to impose conditions on visitation, including supervision requirements, in defined circumstances. AS 25.20.061 identifies specific grounds for conditioning visitation, most of which relate to a parent's history of committing crimes involving domestic violence. Renee has not alleged, and the record does not reflect, any history of domestic violence by Wesley against Renee or Mila. AS 25.24.150(g) establishes a rebuttable presumption that a parent with a history of perpetrating domestic violence may not be awarded custody, but that presumption is not triggered here. Similarly, the conditions for imposing supervised visitation set forth in AS 25.20.061 are not met on the facts Renee has alleged.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single, unverified allegation that Wesley appeared intoxicated at one pickup does not constitute clear and convincing evidence of a pattern of conduct that would endanger Mila. Courts evaluating similar situations have recognized that the relevant inquiry is not whether a parent has ever struggled with substance abuse, but whether current substance abuse directly affects the emotional or physical well-being of the child. AS 25.24.150(c)(8); AS 25.20.090(9). Here, Wesley has submitted to regular drug testing for fourteen months and has remained sober throughout that period. One uncorroborated allegation, disputed by Wesley, does not overcome the documented evidence of his sustained recovery.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Mila's alleged distress upon returning from visits with Wesley is similarly insufficient to support a restriction to supervised contact. Children frequently experience emotional difficulty during transitions between parental households, particularly following periods of disruption or conflict, and such distress does not establish that the visiting parent behaved improperly or poses a danger to the child. The court in Barrett v. Alguire, 35 P.3d 1 (Alaska 2001), recognized the importance of evaluating the specific circumstances and causes of a child's behavior before drawing conclusions about the fitness of a parent. Renee has offered no medical, psychological, or other objective evidence establishing that Mila's distress was caused by anything Wesley did or failed to do during his parenting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Restricting Wesley to supervised contact would also be inconsistent with AS 25.20.070, which directs that a child shall have, to the greatest degree practical, equal access to both parents unless such contact is shown to be detrimental to the child's welfare. Renee has not made that showing on this record.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Finally, the court in Kristina B. v. Edward B., 329 P.3d 202 (Alaska 2014), addressed a situation in which a parent's visitation had been limited due to substance abuse issues and examined what the visitation schedule should look like once the parent's primary parenting issue had been resolved. The court expressed concern about a visitation schedule that remained unduly restrictive even after the parent had addressed the underlying problem. The same reasoning applies here with even greater force. Wesley has not merely begun addressing his substance abuse; he has completed a 90-day inpatient program and maintained verified sobriety for fourteen consecutive months. Imposing supervised visitation at this stage would be contrary to both the evidence and the principles articulated by the Alaska Supreme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all of these reasons, Renee's motion to restrict Wesley's visitation to supervised contact should be denied.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WESLEY HAS DEMONSTRATED A SUBSTANTIAL CHANGE IN CIRCUMSTANCES WARRANTING MODIFICATION OF THE EXISTING CUSTODY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Before the court may modify a custody award, the moving party must demonstrate a substantial change in circumstances since the entry of the last order. AS 25.20.110(a); Havel v. Hogan, 216 P.3d 1142 (Alaska 2009). Wesley respectfully submits that the combination of changes in his life since the entry of the two-year-old order constitutes a substantial change in circumstances within the meaning of Alaska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At the time of the original order, Wesley was residing in Fairbanks, separated from Mila and Renee by several hundred miles, and was dealing with substance abuse issues that legitimately informed the court's decision to limit his parenting time to every other weekend and alternating holidays. Each of those circumstances has now materially changed. Wesley has completed a 90-day inpatient substance abuse treatment program. He has maintained documented sobriety for fourteen months through regular drug testing. He has secured stable, licensed employment as an electrician. And he has relocated from Fairbanks to Anchorage, the city where Mila lives, attends school, and receives medical care.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have recognized that the aggregate of several changed circumstances, even if no single change would independently compel modification, may together constitute a substantial change warranting relief. Hunter v. Conwell, 276 P.3d 413 (Alaska 2012). Considered together, Wesley's sustained sobriety, treatment completion, employment stability, and geographic proximity to Mila represent exactly this kind of aggregate change. The barriers that justified the original limited visitation arrangement no longer exist.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90.3(h)(1) reinforces this conclusion in the support context by recognizing that a material change of circumstances is presumed when circumstances diverge sufficiently from those existing at the time of the original order. While the rule governs child support, the underlying principle, that an order entered under materially different circumstances should be revisited, applies equally to the custody context under AS 25.20.110(a).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MODIFICATION TO EQUAL SHARED PHYSICAL CUSTODY IS IN MILA'S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substantial change in circumstances is established, the court must determine whether modification is in the child's best interests. AS 25.20.110(a); AS 25.24.150(c). Wesley submits that an award of equal shared physical custody serves Mila's best interests under each of the relevant statutory factors.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Mila's Physical, Emotional, Mental, and Social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25.24.150(c)(1) directs the court to consider the physical, emotional, mental, religious, and social needs of the child. Mila is nine years old, an age at which children benefit from meaningful, consistent relationships with both parents. Restricting Wesley to every other weekend contact deprives Mila of the kind of regular, substantive involvement from her father that promotes healthy emotional and social development. Equal shared custody would allow Mila to maintain and deepen her relationship with Wesley during a critical period in her development.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Each Parent's Capability and Desire to Meet Mila's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25.24.150(c)(2) requires the court to consider each parent's capability and desire to meet the child's needs. Wesley has demonstrated his capability and commitment through his sustained recovery, stable employment, and relocation to be closer to Mila. He has consistently exercised his existing visitation and has sought expanded contact through appropriate legal channels rather than unilaterally disrupting the existing order. Renee, while capable of meeting Mila's needs in many respects, has sought to limit Wesley's contact based on unverified allegations, which raises concern about her willingness to support Mila's relationship with her father.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The Child's Preference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25.24.150(c)(3) and AS 25.20.090(1) both direct the court to consider the child's preference if she is of sufficient age and capacity to form one. Mila is nine years old and is of an age at which many Alaska courts find children capable of expressing meaningful preferences. Wesley respectfully requests that the court consider interviewing Mila or appointing a guardian ad litem to ascertain and present her preferences to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Love and Affection Between Mila and Each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25.24.150(c)(4) directs the court to consider the love and affection existing between the child and each parent. Wesley has maintained a consistent and loving relationship with Mila throughout the period covered by the existing order, exercising all scheduled visits and remaining engaged in her life. The bond between Wesley and Mila is real and deserving of the court's protection.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Stability and Continuity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25.24.150(c)(5) addresses the length of time the child has lived in a stable environment and the desirability of maintaining continuity. The continuity argument that once weighed against Wesley, specifically, his residence in a different city, no longer applies. Wesley now lives in Anchorage, where Mila already resides and attends school. Equal shared custody would not require Mila to change schools, relocate, or otherwise disrupt the stable environment she currently enjoys. Rather, it would add a second stable household in the same community.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Willingness to Facilitate the Other Parent's Relationship with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25.24.150(c)(6) and AS 25.20.910(E) both direct the court to consider each parent's willingness and ability to facilitate a close and continuing relationship between the child and the other parent. Wesley has demonstrated his willingness to cooperate with the existing arrangement. Renee's motion to restrict Wesley to supervised contact, based on allegations that appear to lack objective evidentiary support, raises legitimate questions about whether she will support Mila's relationship with her father if equal shared custody is awarded. The Alaska Supreme Court recognized in Moore v. McGillis, 408 P.3d 1196 (Alaska 2018), that a parent's interference with the other parent's contact with a child is a relevant factor in custody determinations.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7. Absence of Domestic Violence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25.24.150(c)(7) and AS 25.20.090(8) direct the court to consider any evidence of domestic violence, child abuse, or child neglect. There is no allegation of domestic violence by Wesley against Renee or Mila. The rebuttable presumption under AS 25.24.150(g) is therefore not triggered. Wesley's history involves substance abuse, not violence, and that history has been addressed through treatment and sustained recovery.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8. Substance Abuse No Longer Directly Affects Mila's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25.24.150(c)(8) and AS 25.20.090(9) direct the court to consider evidence that substance abuse by a parent directly affects the emotional or physical well-being of the child. At the time of the original order, Wesley's substance abuse was a legitimate concern. It is no longer. Fourteen months of verified sobriety following completion of a 90-day inpatient program demonstrates that Wesley has addressed this issue in a sustained and verifiable way. The Alaska Supreme Court in Kristina B. v. Edward B., 329 P.3d 202 (Alaska 2014), held that a custody or visitation arrangement premised on a parent's substance abuse issues should be revisited once that parent has demonstrated sustained recovery, and that a court should explain why restrictions remain appropriate once the underlying parenting problem has been resolved. Wesley has resolved the issue that drove the original restricted visitation schedule, and no comparable justification exists for maintaining such a limited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9. Shared Custody Factors Favor an Equal Parenting Schedule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addition to the best interests factors under AS 25.24.150(c), the court must consider the shared custody factors set forth in AS 25.20.090. Several of those factors strongly favor equal shared custody here. Wesley's relocation to Anchorage means that both parents now reside in the same city, eliminating concerns about the proximity of each parent to the child's school and the feasibility of travel between households. AS 25.20.090(6)(B) and (6)(C). His employment as a licensed electrician provides financial stability. The stability of his home environment, once a legitimate concern given his substance abuse, has been transformed by his recovery and resettlement. AS 25.20.090(3).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education factor under AS 25.20.090(4) also supports shared custody. Because both parents now reside in Anchorage and Wesley lives in close proximity to Mila's school and medical providers, equal shared custody would not disrupt Mila's educational continuity. This geographic reality distinguishes Wesley's current situation sharply from the circumstances at the time of the original order, when his residence in Fairbanks made regular school-week parenting time logistically impractical.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advantages of keeping the child in the community where she currently resides, contemplated by AS 25.20.090(5), are fully compatible with the shared custody arrangement Wesley proposes. Mila would remain in Anchorage in both households. No relocation is sought and none is necessary.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10. AS 25.20.070 Supports Equal Access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25.20.070 provides that unless equal access is shown to be detrimental to the child's welfare, or unless the domestic violence presumption under AS 25.24.150(g) is present, the child shall have, to the greatest degree practical, equal access to both parents. Neither exception applies here. Renee has not established that equal access would be detrimental to Mila, and no domestic violence presumption has been triggered. Equal shared physical custody is therefore not only appropriate; it is, under the statute's directive, the default starting point in the absence of countervailing evidence.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CHILD SUPPORT ORDER SHOULD BE RECALCULATED IN ACCORDANCE WITH CIVIL RULE 90.3(b) TO REFLECT THE PROPOSED SHARED PHYSICAL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the court grants Wesley's cross-petition for equal shared physical custody, the existing child support order must be recalculated under Civil Rule 90.3(b), which governs support calculations in shared physical custody cases. Under Civil Rule 90.3(b)(1), the support obligation in a shared custody arrangement is calculated by determining what each parent would owe the other under Civil Rule 90.3(a) if the other parent had primary custody, multiplying each figure by the percentage of time the child spends in the other parent's care, and then applying the offset formula specified in the rule. Wesley requests that the court order a recalculation under this framework to reflect the new custody arrangement and each party's current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90.3(h)(1) confirms that a material change of circumstances warrants modification of a support order, and that a material change is presumed when the support amount calculated under the rule differs from the outstanding order by more than fifteen percent. Because the proposed shift from a primary custody arrangement to an equal shared custody arrangement will substantially alter the applicable formula and the resulting obligation, a modification of the support order is appropriate and necessary.</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Wesley Larsen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deny Renee Larsen's petition to restrict Wesley's visitation to supervised contact only, as she has failed to present credible, objective evidence establishing that such a restriction is necessary or that it would serve Mila's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grant Wesley's cross-petition for modification of the existing custody order to award the parties equal shared physical custody of Mila, consistent with the substantial changes in circumstances established by Wesley's fourteen months of verified sobriety, completion of a 90-day inpatient treatment program, stable employment as a licensed electrician, and relocation to Anchorage;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direct that the equal shared physical custody schedule be structured to preserve Mila's educational continuity and to maximize her access to both parents, consistent with AS 25.20.070 and AS 25.20.090;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Fourth, order a recalculation of the existing child support obligation under Civil Rule 90.3(b) to reflect the new shared physical custody arrangement and each party's current verified income;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Fifth, grant such other and further relief as this Court deems just and proper in the interests of Mila's welfare.</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2026-08-16T22:25:15.972Z</dcterms:created>
  <dcterms:modified xsi:type="dcterms:W3CDTF">2026-08-16T22:25:15.972Z</dcterms:modified>
</cp:coreProperties>
</file>

<file path=docProps/custom.xml><?xml version="1.0" encoding="utf-8"?>
<Properties xmlns="http://schemas.openxmlformats.org/officeDocument/2006/custom-properties" xmlns:vt="http://schemas.openxmlformats.org/officeDocument/2006/docPropsVTypes"/>
</file>