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(doc-0117)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Nakamura respectfully petitions this Court to modify the existing child custody order entered following the parties' 2021 divorce. The current order provides for a week-on, week-off shared physical custody arrangement for the parties' two minor children, with Wesley Nakamura holding primary legal decision-making authority over educational matters and Jacob Nakamura holding final authority over medical decisions. Since the order was entered, Jacob has accepted a permanent position with the Alaska Department of Fish and Game that requires him to relocate from Anchorage to Kodiak, approximately 250 miles away. That relocation renders the existing alternating-weekly schedule logistically unworkable for school-age children enrolled in Anchorage public schools.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seeks a modification providing that the children reside primarily with Wesley during the academic year, that Jacob receive extended parenting time during summer, school breaks, and holidays, and that the parties share joint decision-making authority over both educational and medical matters. The proposed modification is supported by a substantial change in circumstances and serves the best interests of the children, as required under Alaska law.</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Nakamura and Wesley Nakamura were divorced by order of the superior court in 2021. The divorce decree incorporated a custody order establishing a week-on, week-off shared physical custody schedule for the parties' two minor children. Under that order, Wesley was designated as the primary legal decision-maker for educational matters, and Jacob was designated as the primary legal decision-maker for medical matters.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entry of the order, Jacob accepted a permanent employment position with the Alaska Department of Fish and Game. The position requires Jacob to relocate his primary residence from Anchorage to Kodiak, Alaska. Kodiak is located approximately 250 miles from Anchorage by air and is accessible from Anchorage only by air or by ferry. There is no direct road connection between the two communities. The logistical and financial burden of transferring the children between Anchorage and Kodiak on a weekly basis is substantial, and such a schedule is not feasible for school-age children who are currently enrolled in Anchorage public schools.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Jacob's relocation is permanent in nature, arising from a career position with a state agency rather than a temporary assignment or contract. Wesley continues to reside in Anchorage, where the children's established school, community, and social networks are located.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does not seek to diminish his relationship with the children. Rather, he proposes a modified schedule under which the children would reside primarily with Wesley during the academic year, consistent with the location of their schools and established community, while Jacob would exercise extended parenting time during summer vacation, school breaks, and holidays. Jacob further proposes that the parties share joint legal decision-making authority over both educational and medical matters, replacing the current divided arrangement with a cooperative model.</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 court may modify a custody or visitation order if it determines that a change in circumstances requires the modification and that the modification is in the best interests of the child. If a parent opposes the modification and the court grants it, the court must enter its reasons on the record.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a substantial change in circumstances must be demonstrated before a court may revisit the terms of an existing custody order. Nelson v. Nelson, 512 P.3d 247 (Alaska 2011). The relocation of a custodial parent out of the area in which the custody schedule was designed to operate has been recognized as a substantial change in circumstances warranting review of the existing order. Nelson v. Nelson, 263 P.3d 49 (Alaska 2011); Hayes v. Hayes, 922 P.2d 896 (Alaska 1996).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substantial change in circumstances is established, the court determines whether the proposed modification serves the best interests of the child. AS 25.24.150(c) provides the factors the court must weigh, including the physical, emotional, mental, religious, and social needs of the child; the capability and desire of each parent to meet those needs; the child's preference if the child is of sufficient age and capacity; the love and affection existing between the child and each parent; the length of time the child has lived in a stable, satisfactory environment and the desirability of maintaining continuity; and the willingness and ability of each parent to facilitate a close and continuing relationship between the other parent and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25.20.090 sets forth the factors the court considers in determining whether to award shared custody, including the stability of the home environment likely to be offered by each parent, the proximity of each parent to the school in which the child is enrolled, the feasibility of travel between the parents, and the willingness and ability of each parent to facilitate the other parent's relationship with the child. AS 25.20.070 provides that, unless detrimental to the child's welfare, the child shall have, to the greatest degree practical, equal access to both parents during the period the court considers custody.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Jacob's Relocation to Kodiak Constitutes a Substantial Change in Circumstances Under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first requirement for modification of a custody order under AS 25.20.110(a) is a demonstration that a change in circumstances has occurred since the entry of the prior order. Jacob's permanent relocation from Anchorage to Kodiak satisfies this requirement.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custody order was designed around both parents residing in Anchorage. The week-on, week-off schedule was feasible precisely because both parties were located in the same city, allowing the children to attend the same schools regardless of which parent's home they occupied in a given week. Jacob's relocation to Kodiak, a community accessible from Anchorage only by air or ferry travel, eliminates the geographic foundation on which the existing schedule 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when a parent relocates in a manner that makes the existing custody schedule impossible to maintain, that relocation constitutes a substantial change in circumstances as a matter of law. Nelson v. Nelson, 263 P.3d 49 (Alaska 2011). The Court has further affirmed that courts must respond to such changes with a modified arrangement that serves the children's best interests rather than mechanically preserving a schedule that has become unworkable. Hayes v. Hayes, 922 P.2d 896 (Alaska 1996).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Here, Jacob's relocation is not temporary. It arises from a permanent career position with a state agency. The distance between Anchorage and Kodiak, coupled with the absence of any road connection between the communities, makes weekly exchanges of school-age children physically and financially impractical. The change in circumstances is substantial, material, and was not anticipated at the time the 2021 order was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Proposed Modification Serves the Best Interests of the Children Under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substantial change in circumstances is established, the court must determine whether the proposed modification serves the best interests of the children. AS 25.24.150(c). Jacob's proposed modification, under which the children reside primarily with Wesley during the academic year in Anchorage and spend extended time with Jacob during summers, school breaks, and holidays, satisfies each of the relevant statutory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Proposed Arrangement Preserves Continuity and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Among the factors enumerated in AS 25.24.150(c) is the length of time the child has lived in a stable, satisfactory environment and the desirability of maintaining continuity. The children are currently enrolled in Anchorage public schools and have established friendships, community ties, and routines in Anchorage. Requiring the children to shuttle between Anchorage and Kodiak on a weekly basis during the school year would severely disrupt those established routines and harm their educational progress and social development.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Jacob's proposal places the children with Wesley in Anchorage during the academic year, preserving the children's continuity of schooling, community, and peer relationships. The Alaska Supreme Court has recognized that continuity of a child's established school and community environment is a significant consideration in custody determinations. Tompkins v. Tompkins, 961 P.2d 419 (Alaska 1998). The proposed modification advances that interest.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Proposed Arrangement Serves the Physical and Educational Needs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25.24.150(c)(1), the court considers the physical, emotional, mental, religious, and social needs of the child. Under AS 25.20.090, the court considers, among other factors, the proximity of each parent to the school in which the child is enrolled and the feasibility of travel between the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Maintaining a week-on, week-off schedule when one parent resides 250 miles away, accessible only by air or ferry, does not serve the children's physical or educational needs. Regular long-distance travel would expose the children to repeated disruption of their schooling, fatigue from travel, and the stress of transitioning between two communities on a weekly basis. Jacob's proposed modification eliminates these harms by confining the children's school-year residence to Anchorage, while preserving Jacob's meaningful involvement through extended summer and holiday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acknowledged that the proximity of each parent to the child's school and the feasibility of the travel involved are important considerations in structuring custody when parents live at a distance from one another. Ronny M. v. Nanette H., 303 P.3d 392 (Alaska 2013).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Both Parents Remain Willing and Able to Facilitate the Children's Relationship with the Other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directs the court to consider the willingness and ability of each parent to facilitate and encourage a close and continuing relationship between the other parent and the child. Jacob's petition itself demonstrates his commitment to preserving the children's relationship with Wesley. Jacob is not seeking to reduce Wesley's involvement with the children. Rather, Jacob proposes a schedule that acknowledges the new geographic reality while ensuring that both parents continue to play meaningful roles in the children's lives.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Jacob's proposal for extended summer parenting time, school-break visits, and holiday parenting time provides the children with substantial, meaningful contact with Jacob throughout the year. The Alaska Supreme Court has approved arrangements in which a relocating parent receives extended school-vacation parenting time in place of a shorter but more frequent schedule, finding that such arrangements can adequately serve the child's need for a relationship with each parent. Tompkins v. Tompkins, 961 P.2d 419 (Alaska 1998). The proposed schedule reflects a good-faith effort by Jacob to balance the children's need for stability in Anchorage with their need for a continuing close relationship with their father.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AS 25.20.070 Supports Preserving the Children's Access to Both Parents to the Greatest Degree Practical.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25.20.070 provides that, unless detrimental to the child's welfare, the child shall have, to the greatest degree practical, equal access to both parents during the period custody is under consideration. Jacob's proposed modification reflects this statutory command. Given the logistical constraints imposed by the Anchorage-to-Kodiak distance, the proposed arrangement provides the greatest degree of access to Jacob that is practically achievable while keeping the children in their established school-year environment. Extended summer parenting time, school-break visits, and holiday parenting time together constitute substantial and meaningful contact with Jacob throughout the calendar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Proposed Modification of Legal Custody to Joint Decision-Making Over Both Education and Medical Matters Is in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also requests that the Court modify the existing legal custody arrangement. The current order divides legal decision-making authority, with Wesley holding final authority over educational decisions and Jacob holding final authority over medical decisions. Jacob proposes that both parents share joint decision-making authority over both educational and medical matters.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25.24.150(c)(2), the court considers the capability and desire of each parent to meet the children's needs. Both parents have demonstrated commitment to the children's welfare throughout the post-divorce period. The current divided legal custody arrangement, in which each parent holds exclusive authority over a discrete category of decisions, was designed for a shared physical custody context in which the parents resided in the same city. With the parties now residing in different communities and Jacob's day-to-day involvement shifting to an extended-time model, a joint decision-making arrangement is better suited to the new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Joint legal custody encourages both parents to remain informed and involved in significant decisions affecting the children's lives, which serves the children's long-term well-being. Hope P. v. Flynn G., 355 P.3d 559 (Alaska 2015). A cooperative joint legal custody model also reduces the risk that one parent will make unilateral decisions affecting areas of the child's life in which the other parent has a legitimate ongoing interest.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Child Support Should Be Recalculated in Accordance with Civil Rule 90.3(a) to Reflect the Modified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proposed modification would shift the children from a shared physical custody arrangement to a primary physical custody arrangement with Wesley during the academic year, the child support obligation should be recalculated accordingly. Under Civil Rule 90.3(a), a child support award in a primary physical custody case is calculated as an amount equal to the adjusted annual income of the non-custodial parent multiplied by the applicable percentage, which under Civil Rule 90.3(a)(2) is 27% for two children. The Court should order an updated child support calculation under Civil Rule 90.3(a) based on the parties' current incomes, consistent with the modified physical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parties' parenting time during the summer months and school breaks results in Jacob having the children for periods that qualify as shared physical custody under the rule's definitions, the Court may apply Civil Rule 958(b) to calculate support for those periods, taking into account the actual percentage of time each parent will have physical custody and the funds each parent will directly spend on supporting the children during those periods.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Nakamura respectfully requests that this Court find that his permanent relocation from Anchorage to Kodiak constitutes a substantial change in circumstances under AS 25.20.110(a) and that the proposed modification of the existing custody order is in the best interests of the children under AS 25.24.150(c). Specifically, Jacob requests that the Court enter an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Modifying physical custody so that the children reside primarily with Wesley Nakamura in Anchorage during the academic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Granting Jacob Nakamura extended parenting time during summer vacation, school breaks, and holidays, structured to provide the greatest degree of practical access to both parents consistent with AS 25.20.070;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Modifying legal custody to provide for joint decision-making authority by both parents over educational and medical matters;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Recalculating child support in accordance with Civil Rule 90.3(a) and, where applicable, Civil Rule 90.3(b), to reflect the modified physical custody arrangement and the parties' current incomes.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proposed modification preserves the children's continuity of schooling and community in Anchorage, maintains the children's meaningful relationship with Jacob through extended parenting time, and replaces a divided legal custody structure with a cooperative joint model better suited to the parties' changed circumstances. The modification is supported by a substantial change in circumstances and is in the best interests of the children.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2026-08-16T22:30:16.826Z</dcterms:created>
  <dcterms:modified xsi:type="dcterms:W3CDTF">2026-08-16T22:30:16.826Z</dcterms:modified>
</cp:coreProperties>
</file>

<file path=docProps/custom.xml><?xml version="1.0" encoding="utf-8"?>
<Properties xmlns="http://schemas.openxmlformats.org/officeDocument/2006/custom-properties" xmlns:vt="http://schemas.openxmlformats.org/officeDocument/2006/docPropsVTypes"/>
</file>