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Larsen respectfully requests that this Court modify the existing physical custody arrangement for the parties' two minor children, currently ages 7 and 9, to reflect the substantial change in circumstances that has occurred since the 2021 divorce decree was entered. Respondent Michael Larsen has permanently relocated approximately 200 miles from Anchorage to Fairbanks, accepting a full-time position with the Alaska Department of Transportation. This relocation has rendered the existing week-on, week-off physical custody schedule logistically unworkable and harmful to the children's educational continuity and general well-being. Priya seeks a modified order granting the children's primary residence with her during the school year, with generous and meaningful extended parenting time afforded to Michael during all school breaks and the full summer months, along with a holiday schedule that accounts for the travel distance between Anchorage and Fairbanks. Such a modification is both legally warranted and firmly in the best interests of the two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Larsen and Michael Larsen were divorced in 2021 pursuant to a Superior Court decree that awarded the parties joint legal custody of their two minor children. Under the terms of that decree, the children resided primarily with Priya during the school year and spent summers and alternating holidays with Michael. At the time that order was entered, both parents resided in or near Anchorage, and the existing parenting plan functioned in a manner consistent with the children's school schedule and daily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Michael accepted a permanent position with the Alaska Department of Transportation located in Fairbanks, approximately 200 miles from Anchorage. Michael's relocation is not temporary. The distance between the two cities makes a week-on, week-off exchange schedule practically impossible to maintain without imposing severe burdens on the children, including missed school days, lengthy travel periods, and disruption to extracurricular activities and peer relationships that are critical to the healthy development of children ages 7 and 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schedule requires the children to travel between Anchorage and Fairbanks on a weekly or near-weekly basis to effectuate custody exchanges. This travel, whether by road or air, consumes significant time and resources and forces the children to spend portions of their school week in transit or adjusting to alternating households separated by a substantial geographic distance. The resulting disruption to the children's school attendance, homework completion, and social stability has been ongoing and is measurable.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now petitions this Court to modify the physical custody arrangement. She proposes that the children reside with her full-time during the school year and that Michael be granted extended parenting time during winter break, spring break, and the entirety of the summer. She further proposes that the holiday schedule be revised to reflect practical realities of the Anchorage-Fairbanks distance, ensuring that Michael maintains a close, meaningful, and consistent relationship with the children throughout the year.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Alaska law, a court may modify a prior custody order if the moving party demonstrates both that a significant change in circumstances has occurred since the entry of the prior order and that the proposed modification serves the best interests of the child. AS 25.20.928 provides that an award of custody or visitation may be modified if the court determines that a change in circumstances requires the modification and that the modification is in the best interests of the child. If a parent opposes the modification and it is granted, the court is required to enter on the record its reasons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held that a parent's relocation constitutes a significant change in circumstances sufficient to trigger a best interests analysis. Nelson v. Nelson, 263 P.3d 49 (Alaska 2011). Whether a particular relocation warrants modification of the existing custody arrangement is then resolved by examining the full constellation of best interests factors enumerated in AS 25.24.974, which directs the court to consider: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environment and the desirability of maintaining continuity; each parent's willingness and ability to facilitate a close and continuing relationship between the child and the other parent; any evidence of domestic violence, child abuse, or neglect; and evidence that substance abuse directly affects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also has authority to consider the shared custody factors enumerated in AS 25.20.090, which include the stability of the home environment likely to be offered by each parent, the proximity of each parent to the school in which the child is enrolled, the feasibility of travel between the parents,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evaluating a proposed shared or modified custody arrangement, the Alaska Supreme Court has held that the trial court must conduct a thorough best interests analysis and must not assign disproportionate weight to any single factor while ignoring or improperly weighing key factors in the case.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MICHAEL LARSEN'S PERMANENT RELOCATION TO FAIRBANKS CONSTITUTES A SIGNIFICANT CHANGE IN CIRCUMSTANCES UNDER AS 25.20.944.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of a custody order is proof of a significant change in circumstances since entry of the prior order. AS 25.20.110(a). The Alaska Supreme Court has recognized that a parent's relocation out of the immediate area, as a matter of law, can constitute such a change. Nelson v. Nelson, 263 P.3d 49 (Alaska 2011). Here, Michael Larsen has not merely shifted neighborhoods or changed employers within the Anchorage area. He has accepted a permanent position with a state agency in Fairbanks, a city approximately 200 miles from Anchorage, and has established his permanent residence there.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relocation is precisely the type of material change that the modification statute is designed to address. At the time of the 2021 divorce decree, both parents lived in the Anchorage area, and the week-on, week-off schedule was feasible because exchanges could be accomplished without placing undue travel burdens on children of elementary school age. That foundational premise no longer exists. The move is not temporary, and it was not contemplated in the original custody order in a manner that would have allowed the court or the parties to plan around it, as distinguished from the situation in Sheffield v. Sheffield, 265 P.3d 332 (Alaska 2011), where the parties had expressly built a relocation provision into their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Michael's relocation is permanent and because it has materially disrupted the functioning of the existing parenting plan, Priya has satisfied the threshold showing of changed circumstances required by AS 25.20.110(a). The Court should proceed to the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MODIFICATION IS IN THE BEST INTERESTS OF THE CHILDREN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has been established, the court must determine whether the requested modification advances the best interests of the children. AS 25.24.150(c) sets forth the relevant factors. Each factor is discussed below in light of the specific facts of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Mental, and Social Needs Favor Stability in Anchorage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ages 7 and 9, are enrolled in school in Anchorage. Their daily routines, friendships, extracurricular activities, and academic continuity are centered in the Anchorage community. Requiring these young children to alternate weekly between two cities separated by 200 miles imposes travel burdens that are disproportionate to their developmental stage. Travel between Anchorage and Fairbanks, whether by road or air, typically consumes many hours and may require the children to miss school time, arrive fatigued, or arrive without necessary school materials.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Children at the ages of 7 and 9 benefit greatly from predictability and routine. The disruption caused by the current schedule is not a minor inconvenience. It directly undermines the children's ability to build consistent peer relationships, complete homework assignments with appropriate parental support, and participate meaningfully in after-school activities. The proposed modification, under which the children reside with Priya full-time during the school year, addresses each of these concerns directly. The children's physical, emotional, and social needs are best served by a stable primary residence during the academic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Priya Has Demonstrated the Capability and Desire to Meet the Children's Needs as Primary Caregiver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has served as the children's primary residential parent since entry of the 2021 order. She is located in Anchorage, where the children attend school. Her proximity to the children's school, medical providers, extracurricular activities, and peer community positions her as the more logistically suitable parent to serve as primary custodian during the school year. Nothing in the record suggests any deficiency in Priya's parenting or any inability to meet the children's daily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Stability of the Home Environment and Desirability of Continuity Favor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the child has lived in a stable, satisfactory environment and the desirability of maintaining continuity. Since 2021, the children have resided primarily with Priya in Anchorage during the school year. Their school, their friends, their medical providers, and their community connections are all in Anchorage. Disrupting that established stability by requiring weekly travel to Fairbanks during the academic year is contrary to the children's interests. Maintaining the Anchorage school-year arrangement promotes continuity and protects the stable environment the children have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stability of the children's environment is a critical factor in custody modification proceedings. Tompkins v. Tompkins, 961 P.2d 419 (Alaska 1998). There, the court recognized that children benefit from remaining near familiar surroundings, friends, and established community ties. That principle applies with full force here. The children's existing ties to Anchorage support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Willingness to Facilitate the Other Parent's Relationship with the Children Supports the Proposed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each parent's willingness and ability to facilitate and encourage a close and continuing relationship between the child and the other parent. Priya's proposed modification is not designed to diminish Michael's parental role. To the contrary, Priya proposes that Michael receive extended parenting time during winter break, spring break, and the entirety of the summer months, as well as a revised holiday schedule that accounts for travel logistics. This approach ensures that Michael continues to enjoy a meaningful, consistent, and extended relationship with the children throughout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a thorough best interests analysis must avoid assigning disproportionate weight to any single factor while neglecting others. Weathers v. Weathers, 425 P.3d 131 (Alaska 2018). A rigid adherence to the current schedule in the face of a 200-mile relocation would effectively prioritize the existing order's nominal structure over the children's substantive daily welfare. The proposed modification balances the children's need for stability during the school year against Michael's right to a close and continuing parental relationship by concentrating his parenting time during extended vacation periods when travel burdens are minimized.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Proximity of Each Parent to the Children's School and the Feasibility of Travel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 the court must consider the proximity of each parent to the school in which the child is enrolled and the feasibility of travel between the parents. These statutory factors weigh heavily in favor of the proposed modification. Priya resides in Anchorage, where the children attend school. Michael now resides in Fairbanks. A week-on, week-off schedule between two cities separated by 200 miles is not merely inconvenient; it is educationally disruptive and logistically burdensome for children who are 7 and 9 years 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recognized in Hope P. v. Flynn G., 355 P.3d 559 (Alaska 2015), when practical realities render an existing custody schedule unworkable, modification to reflect the parties' actual circumstances serves both the children's interests and the integrity of the custody order. Here, the practical reality is that Michael's Fairbanks residence makes a week-on, week-off schedule incompatible with the children's school attendance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Proposed Schedule Maximizes the Children's Access to Both Parents to the Degree 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the children shall have, to the greatest degree practical, equal access to both parents during the court's consideration of a custody arrangement. The proposed modification honors this principle to the extent that geography permits. Granting Michael the full summer, all of winter break, and spring break provides him with substantial, concentrated parenting time. The aggregate parenting time Michael would receive under the proposed schedule approaches or may satisfy the threshold for shared physical custody under Civil Rule 90.3(f), depending on the precise number of days allocated, and in any event ensures that the children are not functionally deprived of either parent. The word "practical" in AS 25.20.070 expressly acknowledges that equal access must be calibrated to real-world conditions, and the 200-mile distance between Anchorage and Fairbanks is precisely the type of real-world condition that justifies a school-year and vacation-season division of parenting time.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REVISE THE CHILD SUPPORT CALCULATION TO REFLECT THE MODIFIED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the physical custody arrangement will require a corresponding recalculation of child support. Under Civil Rule 90.3(a), child support in a primary custody arrangement is calculated by multiplying the non-custodial parent's adjusted annual income by the applicable percentage: 27% for two children. If the parenting time awarded to Michael over the course of the year satisfies the definition of shared physical custody under Civil Rule 90.3(f), that is, if the children reside with Michael for at least 30% but no more than 70% of the year as specified in the custody order, the shared custody calculation under Civil Rule 90.3(b) would apply instead.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90.3(f)(1), a parent has shared physical custody of children for purposes of the rule if the children reside with that parent for a period specified in writing in the custody order of at least 30, but no more than 70, percent of the year, regardless of the status of legal custody. The court should make specific written findings as to the percentage of time each parent will have physical custody of the children so that the appropriate child support formula can be applied. Priya requests that the court enter a child support order consistent with whichever formula applies to the finalized parenting time allocation.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MODIFICATION FURTHERS THE POLICY GOALS UNDERLYING ALASKA'S CUSTODY MODIFICATION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reflects the legislature's recognition that custody orders must remain responsive to material changes in family circumstances. The statute authorizes modification precisely because the best interests of children evolve as their circumstances change. When a parent relocates permanently to a city 200 miles away, the custody framework that functioned adequately in the prior circumstances becomes inadequate, and the court's responsibility is to fashion an order that serves the children's current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custody modification proceedings must focus on the substantive well-being of the children rather than the procedural protection of the existing order for its own sake. Nelson v. Nelson, 263 P.3d 49 (Alaska 2011); Weathers v. Weathers, 425 P.3d 131 (Alaska 2018). Here, the children's substantive well-being is best served by a school-year primary residence in Anchorage with their mother, accompanied by generous and meaningful extended parenting time with their father during all school vacation periods. This arrangement is not a diminishment of Michael's parental role; it is a realistic and child-centered response to the geographic reality that his permanent relocation has created.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Larsen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Michael Larsen's permanent relocation to Fairbanks constitutes a significant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Finding that modification of the existing physical custody arrangement is in the best interests of the children under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Modifying the physical custody order to provide that the children reside primarily with Priya Larsen in Anchorage during the school year, from the first day of the academic school year through the last day of the academic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Granting Michael Larsen extended parenting time consisting of the entirety of the summer break, the entirety of winter break, and the entirety of spring break, with appropriate provisions for transportation logistics and advance scheduling;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Revising the holiday schedule to account for the 200-mile travel distance between Anchorage and Fairbanks, with specific provisions ensuring that both parents enjoy meaningful holiday time with the children on a rotating or allocated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Maintaining joint legal custody so that both parents retain equal rights and responsibilities with respect to major decisions affecting the children's education, health, and welfare;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Recalculating child support in accordance with Civil Rule 90.3(a) or Civil Rule 90.3(b), as applicable, based on the parenting time percentages established by the modified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modification is legally supported, factually grounded, and firmly in the best interests of the two minor children whose welfare this proceeding is designed to protect.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2026-08-16T22:33:21.589Z</dcterms:created>
  <dcterms:modified xsi:type="dcterms:W3CDTF">2026-08-16T22:33:21.589Z</dcterms:modified>
</cp:coreProperties>
</file>

<file path=docProps/custom.xml><?xml version="1.0" encoding="utf-8"?>
<Properties xmlns="http://schemas.openxmlformats.org/officeDocument/2006/custom-properties" xmlns:vt="http://schemas.openxmlformats.org/officeDocument/2006/docPropsVTypes"/>
</file>