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(doc-0123)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Petitioner, respectfully requests that this Court issue an emergency and long-term protective order against her husband, Michael Sutter, Respondent, pursuant to AS 18.66.100 and AS 18.66.110. On October 3, 2024, Michael physically assaulted Ashley by grabbing her throat, shoving her into a kitchen counter, and threatening to kill her. Six days later, on October 9, 2024, Michael appeared at her workplace, blocked her vehicle, and again threatened her life if she sought legal counsel. These acts constitute crimes involving domestic violence as defined under Alaska law, and Ashley now seeks the immediate protection of this Court. She requests that Michael be ordered to vacate the family residence at 412 Birchwood Lane in Fairbanks, Alaska, to have no contact with her by any means, and to surrender all firearms in his possession. Ashley further requests that the Court schedule a full hearing to consider entry of a long-term protective order.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age 34, and Michael Sutter, age 37, have been married for eight years and reside together at 412 Birchwood Lane, Fairbanks, Alaska. The parties share a household and, until recently, a marital relationship that has now become the subject of escalating and dangerous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about finances at the family residence, Michael grabbed Ashley by the throat with sufficient force to cause visible bruising to her neck and shoulder. He shoved her forcefully into the kitchen counter and stated directly that he would "make sure she never left him alive." This physical assault and accompanying death threat placed Ashley in immediate fear for her safety and caused documented physical injury.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9, 2024, Michael appeared uninvited at Ashley's workplace on Cushman Street in Fairbanks. He blocked her vehicle in the parking lot, preventing her from leaving, and again threatened to kill her if she contacted an attorney. This second incident demonstrates that Michael's threatening conduct is not isolated but is part of a continuing pattern of intimidation designed to prevent Ashley from exercising her legal rights and to trap her in a dangerous situation.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now brings this petition seeking emergency protective relief and a long-term order. She has not previously filed a petition for a protective order in this matter. No divorce action is currently pending, though Ashley reserves the right to initiate dissolution proceedings. Ashley files this petition with the Fairbanks District or Superior Court, the court location closest to both her current residence and her workplace, and to the location where the acts of domestic violence occurred, consistent with applicable venue rules.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 a person who is a victim of a crime involving domestic violence may file a petition requesting an ex parte protective order. If the court finds that the petition establishes probable cause that a crime involving domestic violence has occurred, and that it is necessary to protect the petitioner from domestic violence, the court shall issue a protective order ex parte and without notice to the respondent. An ex parte protective order issued under this statute expires 20 days after it is issued unless dissolved earlier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 following notice and a hearing, the court may issue a long-term protective order if it finds by a preponderance of the evidence that the respondent has committed a crime involving domestic violence against the petitioner. The court is required to schedule a hearing and provide at least 10 days' notice to the respondent of the hearing and of the respondent's right to appear and be heard. The protective relief available under AS 18.66.100(c) includes no-contact provisions, removal of the respondent from the petitioner's residence, stay-away orders from the petitioner's home and workplace, and surrender of firearms if the respondent was in actual possession of or used a firearm during the commission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65(b), a temporary restraining order may be granted without notice to the adverse party if it clearly appears from specific facts shown by affidavit or verified complaint that immediate and irreparable injury will result before the adverse party can be heard in opposition. The applicant must also certify in writing the efforts, if any, made to give notice and the reasons supporting the claim that notice should not be required.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courts are to give broad effect to the protections available under the domestic violence statutes and that a petitioner's safety is a paramount concern. In Mitchell v. Mitchell, 445 P.3d 660 (Alaska 2019), the court affirmed the importance of protective orders as final and enforceable relief mechanisms within the domestic violence framework. In Thomas v. Thomas, 171 P.3d 98 (Alaska 2007), the court recognized that repeated acts of physical violence and intimidation support the issuance and continuation of protective orders, even when petitions have been filed across multiple incidents. In Whalen v. Whalen, 425 P.3d 150 (Alaska 2018), the court addressed the duration provisions of AS 18.66.100(c), clarifying that certain forms of relief, particularly the prohibition against threatening to commit domestic violence, remain effective until further order of the court, while other provisions are effective for one year unless earlier dissolved.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under AS 18.66.100 solely because of a lapse of time between an act of domestic violence and the filing of the petition, or because the act was the basis of a previous order, or because of changed circumstances. Similarly, under AS 18.66.110(d), a court may not deny a petition for an ex parte protective order solely because of a lapse of time between an act of domestic violence and the filing of the petition. These provisions ensure that victims are not penalized for delays caused by fear, lack of resources, or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venue for filing a petition for a protective order is proper in the judicial district or court location closest to where the petitioner currently resides, where the respondent resides, or where the domestic violence occurred. Civil Rule 3(h). All three factors favor this Court, as both parties reside at 412 Birchwood Lane in Fairbanks, and both acts of domestic violence occurred within the Fairbanks area.</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Ashley Is a Victim of Crimes Involving Domestic Violence and Is Entitled to Immediate Protective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events of October 3 and October 9, 2024 each independently constitute crimes involving domestic violence within the meaning of Alaska law. Michael grabbed Ashley by the throat, shoved her into a kitchen counter causing visible bruising, and threatened to kill her. He then followed her to her workplace, blocked her vehicle, and repeated his death threat. These acts encompass assault, unlawful contact, and criminal threatening against a household member. As both parties are spouses residing together, they are household members, and the relevant statutory provisions fully apply to their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 Ashley is entitled to ex parte relief because the facts set forth in her accompanying affidavit establish probable cause that crimes involving domestic violence have occurred, and because it is necessary to protect her from further domestic violence. Michael's second incident, occurring only six days after the first and specifically targeting Ashley at her workplace after she had expressed a desire to leave him, demonstrates that Michael poses an ongoing and escalating threat. The fact that his October 9 threat was conditioned on her contacting an attorney reveals his intent to use violence to prevent Ashley from accessing the courts, making emergency relief essential to preserving her safety and her legal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65(b), the specific facts presented by affidavit demonstrate that immediate and irreparable injury will result to Ashley if notice is given to Michael before the order is entered. Given that Michael has already appeared uninvited at her workplace and threatened her life specifically in response to any effort to seek legal redress, providing advance notice of this petition would predictably provoke further violence or flight. The requirements for ex parte relief are satisfied.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Order Michael to Vacate the Family Residence at 412 Birchwood Lane.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has an independent right to remain in the family home, and Michael's continued presence at 412 Birchwood Lane places her in danger. Under AS 18.66.100(c), a protective order may remove and exclude the respondent from the residence of the petitioner, regardless of ownership of the residence. This provision exists precisely to ensure that a victim of domestic violence is not forced to choose between her safety and her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violence began in the family residence on October 3, 2024, and Michael has since demonstrated that he will seek Ashley out wherever she may be, allowing him to remain in the home would create an immediate and ongoing danger. Ashley requests that the Court order Michael to immediately vacate the residence at 412 Birchwood Lane and to stay away from that location pursuant to AS 18.66.100(c)(3) and (c)(4).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Issue a Comprehensive No-Contact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a complete no-contact order prohibiting Michael from contacting her in person, by telephone, by electronic means, or through third parties. Under AS 18.66.100(c)(2), a protective order may prohibit the respondent from telephoning, contacting, or otherwise communicating directly or indirectly with the petitioner. This protection is necessary given that Michael has already demonstrated his willingness to appear at her workplace and to use threats as a means of coercion.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no-contact provisions of a protective order are not waived or nullified by any invitation the petitioner may subsequently extend. Under AS 18.66.130(a), if a respondent is prohibited from communicating with the petitioner or excluded from the petitioner's residence, an invitation by the petitioner to communicate, enter the residence, or have other prohibited contact does not waive or nullify any provision of the protective order. This provision protects Ashley from any future pressure Michael may exert by claiming she invited contact.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order Michael to stay away from Ashley's workplace on Cushman Street, as Michael has already used that location as a venue for threatening and intimidating her. This relief is available under AS 18.66.100(c)(4), which authorizes the court to direct the respondent to stay away from the residence, school, or place of employment of the petitioner or any specified place frequented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Order Michael to Surrender Any Firearms in His Possession.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the facts described in this petition do not specify that Michael used a firearm during either incident, his death threats are explicit and ongoing. To the extent that Michael possesses firearms, their presence in his hands during a period in which he has made repeated death threats creates an unacceptable risk to Ashley's safety. Under AS 18.66.100(c)(6), a protective order may prohibit the respondent from using or possessing a deadly weapon if the court finds the respondent was in the actual possession of or used a weapon during the commission of domestic violence. Under AS 18.66.100(c)(7), the court may direct the respondent to surrender any firearm owned or possessed by the respondent if the court finds the respondent was in the actual possession of or used a firearm during the commission of domestic violence. Ashley requests that the Court make appropriate inquiry and, if evidence supports such a finding, issue a firearms surrender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under AS 18.66.100(c)(16), the Court may order other relief it determines necessary to protect the petitioner or any household member. This catch-all provision confirms that the Court's protective authority is broad and extends to any measure the Court determines is necessary to safeguard Ashley from further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Schedule a Full Hearing for a Long-Term Protective Order and May Not Order Mediation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the Court schedule a full hearing for the purpose of entering a long-term protective order. Under AS 18.66.100(b), the Court shall schedule a hearing and provide at least 10 days' notice to the respondent. If the Court finds by a preponderance of the evidence that Michael has committed a crime involving domestic violence against Ashley, the Court may order any relief available under AS 18.66.100(c). The protective provisions entered under AS 18.66.100(c)(2) through (c)(16) are effective for one year unless earlier dissolved by court order, as clarified in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expressly prohibited from referring the parties to mediation in connection with this petition. Under AS 18.66.130(c), a court may not order parties into mediation or refer them to mediation for resolution of the issues arising from a petition for a protective order under AS 18.66.100 through AS 18.66.180. Additionally, under Civil Rule 100(a), mediation may not be ordered between the parties to, or in, a case filed under AS 18.66.100 through AS 18.66.180. These prohibitions reflect the legislature's recognition that mediation is inappropriate and unsafe where domestic violence has occurred. Similarly, if Ashley elects to file for divorce, the Court may not order or refer the parties to mediation while a protective order issued under AS 18.66.100 through AS 18.66.180 is in effect. AS 25.24.060(f); AS 25.24.140(d).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Pattern of Conduct Demonstrates a Continuing and Escalating Threat Warranting Long-Term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Thomas v. Thomas, 171 P.3d 98 (Alaska 2007), and Williams v. Barbee, 243 P.3d 995 (Alaska 2010), confirm that courts must fully evaluate the pattern of domestic violence conduct when assessing the necessity and scope of protective relief. The two incidents here, occurring only six days apart and escalating in scope from the home to the workplace, reflect a respondent who is not deterred by social or geographic boundaries and who specifically targets the petitioner's efforts to exercise her legal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standing injunction provisions available in domestic relations proceedings reinforce the importance of preventing threatening conduct pending resolution of this matter. Under Civil Rule 65(e), a standing injunction may be issued restraining parties in domestic relations actions from, among other things, threatening, harassing, or harming the other party. Such a standing injunction is effective against a party upon receipt of a copy by that party or that party's attorney.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be aware that Ashley, as a pro se petitioner seeking a domestic violence protective order, is entitled to submit her mailing address and telephone number on a separate form and to omit this information from other pleadings and papers filed with the court. Civil Rule 65.1. Access to the form containing her address and telephone number is limited to the court, authorized court system personnel, and Ashley herself, ensuring that her location is not disclosed to Michael through the court filing process.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no filing fee may be charged in this action, as Ashley is seeking only the relief provided under AS 18.66.100 through AS 18.66.180. AS 18.66.150(d). The clerk of the court is required to make forms available and to provide assistance in completing and filing those forms. AS 18.66.150(c).</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set forth above, Ashley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ex parte emergency protective order pursuant to AS 18.66.110 immediately upon filing, directing Michael Sutter to vacate the residence at 412 Birchwood Lane, Fairbanks, Alaska, to have no contact with Ashley in person, by telephone, or through any third party, and to stay away from Ashley's workplace on Cushman Street;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Michael Sutter to surrender any firearms in his possession to the appropriate law enforcement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Schedule a full hearing within 10 days' notice to Michael pursuant to AS 18.66.100(b) for the purpose of considering entry of a long-term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long-term protective order following the hearing, upon finding by a preponderance of the evidence that Michael has committed crimes involving domestic violence against Ashley, granting all relief available under AS 18.66.100(c) as the Court deems necessary to protect Ashley's safety;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further relief as the Court determines is necessary and appropriate to protect Ashley Sutter and to prevent further acts of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Sutter makes this request in good faith and on the basis of the facts described herein and in her accompanying affidavit. She respectfully asks the Court to act promptly given the ongoing danger she faces.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2026-08-16T22:43:40.836Z</dcterms:created>
  <dcterms:modified xsi:type="dcterms:W3CDTF">2026-08-16T22:43:40.836Z</dcterms:modified>
</cp:coreProperties>
</file>

<file path=docProps/custom.xml><?xml version="1.0" encoding="utf-8"?>
<Properties xmlns="http://schemas.openxmlformats.org/officeDocument/2006/custom-properties" xmlns:vt="http://schemas.openxmlformats.org/officeDocument/2006/docPropsVTypes"/>
</file>