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(doc-0124)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Priya Bergstrom respectfully submits this brief in support of her petition for a domestic violence protective order against Respondent Sarah Bergstrom. Priya and Sarah Bergstrom are married and have resided together in Anchorage, Alaska for six years. On March 4, 2025, Sarah physically assaulted Priya by grabbing her throat, shoving her into a kitchen cabinet, and threatening to make her "regret" any attempt to leave the relationship. Two days later, Sarah escalated her conduct by sending threatening text messages and appearing uninvited at Priya's workplace to scream threats in front of Priya's coworkers. Priya now petitions this Court for a protective order prohibiting all contact by Sarah, requiring Sarah to vacate the marital residence, and directing Sarah to remain at least 500 feet from Priya's home, workplace, and vehicle. As set forth below, Priya's petition is well supported by Alaska law and the documented facts, and the Court should grant the requested relief.</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Bergstrom and Sarah Bergstrom are married and have lived together in Anchorage, Alaska for approximately six years. Their marriage qualifies as a household member relationship under Alaska's domestic violence statutes.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4, 2025, during an argument over household finances, Sarah grabbed Priya by the throat and shoved her forcefully into a kitchen cabinet, causing Priya physical pain and fear for her safety. During the same incident, Sarah told Priya, "If you ever try to leave me, I will make sure you regret it." This statement constituted a direct and explicit threat to commit further violence and to retaliate against Priya for exercising her right to separate from the relationship.</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6, 2025, two days after the physical assault, Sarah sent Priya a series of text messages threatening to harm her if she contacted an attorney. These messages were designed to deter Priya from seeking legal protection and to maintain coercive control over her. On that same date, Sarah appeared uninvited at Priya's place of employment, where she screamed threats at Priya in front of Priya's coworkers, causing Priya humiliation, fear, and a reasonable apprehension of imminent harm.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has not invited Sarah to contact her at her workplace, and no conduct by Priya has waived or nullified Sarah's responsibility for her threatening behavior. Priya files this petition as soon as practicable following these events and respectfully requests the relief set forth herein.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when a petition for a protective order is filed, the court shall schedule a hearing and provide at least 10 days' notice to the respondent of the hearing and of the respondent's right to appear and be heard, either in person or by an attorney. If the court finds by a preponderance of evidence that the respondent has committed a crime involving domestic violence against the petitioner, regardless of whether the respondent appears at the hearing, the court may order any relief available under AS 18.66.100(c).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preponderance of the evidence standard requires only that it be more likely than not that the domestic violence occurred. This is a relatively low threshold designed to protect victims who may not have access to corroborating witnesses or other documentation of private acts of violence. The Alaska Supreme Court confirmed in Whalen v. Whalen, 425 P.3d 150 (Alaska 2018), that the statutory framework governing the duration and scope of protective relief under AS 18.66.100 is unambiguous, and courts are directed to apply its provisions as written.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immediate danger exists, a petitioner may also request an ex parte protective order under AS 18.66.110(a). Under that provision, if the court finds that the petition establishes probable cause that a crime involving domestic violence has occurred, and that it is necessary to protect the petitioner from domestic violence, and if the petitioner has certified in writing the efforts made to provide notice to the respondent, the court shall ex parte and without notice to the respondent issue a protective order. An ex parte protective order expires 20 days after it is issued unless dissolved earlier by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under Civil Rule 65(b), a temporary restraining order may be granted without written or oral notice to the adverse party only if it clearly appears from specific facts shown by affidavit or by the verified complaint that immediate and irreparable injury, loss, or damage will result to the applicant before the adverse party or that party's attorney can be heard in opposition, and the applicant or applicant's attorney certifies to the court in writing the efforts, if any, which have been made to give notice and the reasons supporting the claim that notice should not be required.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may not deny a petition for a protective order solely because of a lapse of time between an act of domestic violence and the filing of the petition. AS 18.66.100(e)(1).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SARAH BERGSTROM HAS COMMITTED CRIMES INVOLVING DOMESTIC VIOLENCE AGAINST PRIYA BERGSTROM, SATISFYING THE PREPONDERANCE OF THE EVIDENCE STANDARD FOR ISSUANCE OF A LONG-TERM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 Bergstrom is a household member of Priya Bergstrom within the meaning of Alaska's domestic violence statutes, as the two are married and have lived together for six years. On March 4, 2025, Sarah committed an act of physical domestic violence by grabbing Priya by the throat and shoving her into a kitchen cabinet. Physical assault of this nature constitutes a crime involving domestic violence under Alaska law. Sarah compounded this conduct on the same date by threatening Priya with retaliation for any attempt to leave the relationship. On March 6, 2025, Sarah further committed additional acts of domestic violence by sending threatening text messages and by appearing uninvited at Priya's workplace to scream threats at her in the presence of coworkers.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Each of these acts, individually and collectively, supports a finding by a preponderance of the evidence that Sarah has committed crimes involving domestic violence against Priya. The Alaska Supreme Court recognized in Sarah D. v. John D., 352 P.3d 419 (Alaska 2015), that courts examine the totality of a respondent's conduct, including a pattern of behavior across multiple incidents, in evaluating the basis for protective relief. Here, the pattern is clear: Sarah has engaged in physical violence, verbal threats, harassment through electronic communication, and workplace intimidation, all directed at Priya in a short span of two days.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preponderance of the evidence standard is satisfied, this Court should issue a long-term protective order under AS 18.66.100.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COURT SHOULD PROHIBIT SARAH BERGSTROM FROM CONTACTING PRIYA BERGSTROM IN ANY FORM.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18.66.100(c)(1) and (c)(2), a protective order may prohibit the respondent from threatening to commit or committing domestic violence, stalking, or harassment, and may also prohibit the respondent from telephoning, contacting, or otherwise communicating directly or indirectly with the petitioner. Both forms of relief are warranted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 has demonstrated that she is willing to use electronic communication to threaten Priya. Her text messages sent on March 6, 2025, threatening harm if Priya consulted an attorney, illustrate precisely the coercive contact that the no-contact provisions of AS 18.66.100(c)(2) are designed to prevent. A complete prohibition on all forms of direct and indirect contact is necessary to protect Priya from further intimidation and threats.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It bears emphasis that under AS 18.66.130(a), if a respondent in a protective order is prohibited from communicating with the petitioner, an invitation by the petitioner to communicate does not waive or nullify any provision in a protective order. Priya is therefore entitled to this protection without concern that any future contact by Sarah, if initiated or responded to out of fear, confusion, or coercion, could undermine the force of the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REQUIRE SARAH BERGSTROM TO VACATE THE MARITAL RESIDENCE AND REMAIN AT LEAST 500 FEET FROM PRIYA'S HOME, WORKPLACE, AND VEHICLE.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18.66.100(c)(3), a protective order may remove and exclude the respondent from the residence of the petitioner, regardless of ownership of the residence. Under AS 18.66.100(c)(4), the order may direct the respondent to stay away from the residence, school, or place of employment of the petitioner or any specified place frequented by the petitioner or any designated household member. Under AS 18.66.100(c)(5), the court may prohibit the respondent from entering a propelled vehicle in the possession of or occupied by the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Each of these provisions supports the relief Priya requests. Sarah physically assaulted Priya inside their shared residence on March 4, 2025. So long as Sarah continues to reside in the marital home, Priya cannot safely return to her own residence. The threat Sarah poses is not limited to the home: Sarah has already demonstrated her willingness to appear at Priya's workplace to scream threats at her in front of colleagues. A 500-foot stay-away order directed at Priya's home, workplace, and vehicle is therefore necessary and appropriate to protect Priya's safety in each of the locations where she lives and works.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During the pendency of the related divorce or separation proceeding, if any, Priya may also seek protective orders under AS 25.24.140(b), which provides that a spouse is entitled to necessary protective orders including orders directing one spouse to vacate the marital residence, restraining a spouse from communicating directly or indirectly with the other spouse, and restraining a spouse from entering a propelled vehicle in the possession of or occupied by the other spouse. These provisions further reinforce the appropriateness of the relief requested.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PRIYA BERGSTROM IS ENTITLED TO SEEK EMERGENCY EX PARTE RELIEF WHILE THE LONG-TERM PETITION IS PENDING.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a threshold matter, Priya respectfully requests that the Court consider issuing an ex parte protective order under AS 18.66.110(a) pending the scheduled hearing on her long-term petition. The standard for ex parte relief is probable cause that a crime involving domestic violence has occurred and that it is necessary to protect the petitioner from domestic violence. Given the documented physical assault on March 4, 2025, and the continued threats and workplace confrontation on March 6, 2025, probable cause is plainly established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 ex parte protective order under AS 18.66.110(a) may grant the protection provided by AS 18.66.100(c)(1) through (5), (8) through (12), and (16), which includes the no-contact, vacate-residence, and stay-away provisions Priya requests. Such an order expires 20 days after it is issued unless dissolved earlier, providing a critical window of protection while the full hearing is scheduled and noticed to Sarah.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the alternative, to the extent the Court proceeds under Civil Rule 65(b) for emergency injunctive relief without notice, Priya can demonstrate through her affidavit that immediate and irreparable injury will result before Sarah can be heard in opposition, given that Sarah has already escalated from physical violence to workplace confrontation within 48 hours of the initial assault.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THE COURT HAS BROAD AUTHORITY TO ORDER ADDITIONAL PROTECTIVE RELIEF AS NECESSARY.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18.66.100(c)(16), the court may order other relief it determines necessary to protect the petitioner or any household member. This catch-all provision confirms that the protective order framework is intended to be flexible and responsive to the specific circumstances of each case. Should the Court identify additional measures that would more fully protect Priya's safety, including restrictions on Sarah's use of controlled substances under AS 18.66.100(c)(11), or a requirement that Sarah participate in a batterers' intervention program under AS 18.66.100(c)(15), the Court has full authority to include such provisions in its order.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F. MEDIATION IS NOT APPROPRIATE IN THIS MATTER.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18.66.130(c), a court may not order parties into mediation or refer them to mediation for resolution of the issues arising from a petition for a protective order under AS 18.66.100 through 18.66.180. Civil Rule 100(a) further confirms that mediation may not be ordered between the parties to, or in, a case filed under AS 18.66.100 through 18.66.180. Accordingly, the Court should not refer this matter to mediation, and neither party should be directed to participate in alternative dispute resolution as a condition of or substitute for protective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 PRIYA BERGSTROM'S ADDRESS AND CONTACT INFORMATION ARE CONFIDENTIAL AND SHOULD BE PROTECTED.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65.1, a petitioner who is appearing pro se in a proceeding to obtain a domestic violence protective order under AS 18.66.100 or 18.66.110 may submit the petitioner's mailing address and telephone number on a separate form and omit this information from other pleadings and papers filed with the court. Access to the form containing the petitioner's mailing address and telephone number is limited to the court, authorized court system personnel, and the petitioner. Priya respectfully invokes this protection and has submitted her address information on the required separate form. Given Sarah's demonstrated willingness to appear uninvited at Priya's workplace, protection of Priya's home address is especially critical.</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Priya Bergstrom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Issue a long-term domestic violence protective order under AS 18.66.100 finding that Sarah Bergstrom has committed crimes involving domestic violence against Priya Bergstrom by a preponderance of the evidence;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Prohibit Sarah Bergstrom from threatening, contacting, communicating with, or otherwise harassing Priya Bergstrom in any manner, directly or indirectly, pursuant to AS 18.66.100(c)(1) and (c)(2);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Remove and exclude Sarah Bergstrom from the marital residence pursuant to AS 18.66.100(c)(3);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Direct Sarah Bergstrom to remain at least 500 feet from Priya's residence, place of employment, and any vehicle in Priya's possession or occupied by Priya, pursuant to AS 18.66.100(c)(4) and (c)(5);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Issue an ex parte protective order under AS 18.66.110(a) providing immediate protection pending the full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Order such additional protective relief under AS 18.66.100(c)(16) as the Court determines necessary to protect Priya's safety;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7. Protect Priya's address and contact information pursuant to Civil Rule 65.1.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Bergstrom respectfully submits that the evidence supporting this petition is substantial, the legal basis is clear, and the relief requested is necessary to protect her safety and well-being.</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2026-08-16T22:46:19.734Z</dcterms:created>
  <dcterms:modified xsi:type="dcterms:W3CDTF">2026-08-16T22:46:19.734Z</dcterms:modified>
</cp:coreProperties>
</file>

<file path=docProps/custom.xml><?xml version="1.0" encoding="utf-8"?>
<Properties xmlns="http://schemas.openxmlformats.org/officeDocument/2006/custom-properties" xmlns:vt="http://schemas.openxmlformats.org/officeDocument/2006/docPropsVTypes"/>
</file>