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(doc-0133)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Okafor respectfully petitions this Court for a long-term domestic violence protective order against her spouse, Sarah Okafor, pursuant to AS 18.66.100. On March 3, 2025, Sarah physically attacked Elena in their shared Fairbanks home, causing a head laceration requiring emergency medical treatment. On March 17, 2025, Sarah escalated the abuse by threatening to kill Elena if she attempted to leave the marriage, while a legally registered firearm remained accessible in the home. The pattern of physical violence and lethal threats, combined with the presence of a firearm, places Elena in immediate and ongoing danger. Elena asks this Court to order Sarah to vacate the shared residence, to maintain a 500-foot distance from Elena's person, workplace, and vehicle, and to surrender her firearm to local law enforcement.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Okafor and Sarah Okafor are married spouses who reside together at 412 Birchwood Lane, Fairbanks, Alaska. They are household members within the meaning of Alaska's domestic violence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3, 2025, Sarah grabbed Elena by the hair and forcibly slammed her head against the kitchen counter of their shared residence. The impact caused a laceration to Elena's head that required treatment at Fairbanks Memorial Hospital, including stitches. This physical assault constitutes a crime involving domestic violence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Two weeks after the physical assault, on March 17, 2025, Sarah cornered Elena in their bedroom and explicitly threatened to kill Elena if Elena attempted to leave the marriage. At the time of this threat, Sarah had a legally registered firearm in the home. The combination of a specific death threat and readily accessible firepower constitutes a severe escalation of the abuse and places Elena at substantial risk of lethal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files this petition seeking a protective order that will require Sarah to vacate the shared home at 412 Birchwood Lane, to remain at least 500 feet from Elena's person, workplace, and vehicle, and to surrender her firearm to local law enforcement for the duration of the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authorizes a victim of a crime involving domestic violence to petition the district or superior court for a protective order against a household member. AS 18.66.100(a). When a petition is filed, the court shall schedule a hearing and provide at least 10 days' notice to the respondent. AS 18.66.100(b). If the court finds by a preponderance of the evidence that the respondent has committed a crime involving domestic violence against the petitioner, the court may order any relief available under AS 18.66.100(c).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ex parte protective order is also available where the petition establishes probable cause that a crime involving domestic violence has occurred and that it is necessary to protect the petitioner from further domestic violence. AS 18.66.110(a). An ex parte order may be issued without notice to the respondent and may include, among other relief, removal of the respondent from the shared residence and prohibition on contact with the petitioner. AS 18.66.110(a).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possess broad discretion in fashioning protective relief and that the duration provisions of AS 18.66.100 are controlling, with relief under AS 18.66.100(c)(1) remaining effective until further order of the court, while other relief under AS 18.66.100(c) is effective for one year unless earlier dissolved. Whalen v. Whalen, 425 P.3d 150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not deny a petition for a protective order solely because there has been a lapse of time between an act of domestic violence and the filing of the petition. AS 18.66.100(e)(1).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SARAH OKAFOR HAS COMMITTED CRIMES INVOLVING DOMESTIC VIOLENCE AGAINST ELENA, SATISFYING THE PREPONDERANCE STANDARD FOR ISSUANCE OF A LONG-TERM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the Court must find by a preponderance of the evidence that the respondent committed a crime involving domestic violence against the petitioner. That standard is readily met here. On March 3, 2025, Sarah grabbed Elena by the hair and slammed her head against the kitchen counter, producing a laceration serious enough to require emergency medical treatment and stitches. This intentional physical assault against Elena, a household member, constitutes a crime involving domestic violence. The contemporaneous medical record from Fairbanks Memorial Hospital provides objective corroboration of the injury.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17, 2025, Sarah cornered Elena in their bedroom and explicitly threatened to kill her if she tried to leave the marriage. A credible death threat directed at a household member is itself a crime involving domestic violence. The threat was made in a confined space, preventing Elena from leaving, which further demonstrates the coercive and dangerous nature of Sarah's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these two incidents, occurring within a span of two weeks, establish a pattern of escalating abuse. The Alaska Supreme Court, in Sarah D. v. John D., 352 P.3d 419 (Alaska 2015), recognized that a history of domestic violence acts, including prior assaultive conduct, supports the issuance and extension of protective relief. The facts presented here more than satisfy the preponderance standard required under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ORDER SARAH TO VACATE THE SHARED RESIDENCE AND MAINTAIN A 500-FOOT DISTANCE FROM ELENA, HER WORKPLACE, AND HER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the respondent from the petitioner's residence, regardless of ownership. AS 18.66.100(c)(4) further authorizes the court to direct the respondent to stay away from the residence, workplace, and any specified place frequented by the petitioner or any designated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and Sarah currently share the residence at 412 Birchwood Lane, Fairbanks, Alaska. Requiring Elena to remain under the same roof as a spouse who has physically assaulted her and threatened to kill her would expose her to continued and potentially lethal danger. Sarah's continued presence in the home effectively traps Elena in the very location where the acts of violence occurred. The statutory framework expressly contemplates this circumstance and provides for the respondent's removal regardless of ownership.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500-foot distance requirement from Elena's person, workplace, and vehicle is an appropriate and proportionate form of relief given the severity of Sarah's threatening conduct. AS 18.66.100(c)(4) permits the court to order the respondent to stay away from specified places frequented by the petitioner, including the petitioner's place of employment. A specific measurable distance requirement gives law enforcement a clear and enforceable standard, protecting Elena from contact that could foreseeably escalate to further violence.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ORDER SARAH TO SURRENDER HER FIREARM.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18.66.100(c)(7) authorizes the court to direct the respondent to surrender any firearm owned or possessed by the respondent if the court finds that the respondent was in the actual possession of or used a firearm during the commission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17, 2025, when Sarah threatened to kill Elena, a legally registered firearm was present in the home and accessible to Sarah. The firearm was in Sarah's possession within the home during the commission of the threatening act of domestic violence. A credible death threat made by a person who has immediate access to a firearm represents a uniquely lethal combination. Surrendering the firearm to local law enforcement removes a readily available instrument of lethal harm and meaningfully reduces the risk to Elena's life. The Court should order Sarah to surrender her firearm for the duration of the protective order pursuant to AS 18.66.100(c)(7).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ELENA IS ENTITLED TO AN EX PARTE PROTECTIVE ORDER PENDING THE SCHEDULED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18.66.110(a), the court shall issue an ex parte protective order without notice to the respondent if the petition establishes probable cause that a crime involving domestic violence has occurred and that the order is necessary to protect the petitioner. The facts presented here, including a documented physical assault requiring hospital treatment and a subsequent explicit death threat in the presence of a firearm, plainly establish probable cause.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ex parte order may include removal of the respondent from the petitioner's residence under AS 18.66.100(c)(3), prohibition on contact under AS 18.66.100(c)(2), and other protective relief. AS 18.66.110(a). The 20-day period of an ex parte order bridges the gap between the filing of this petition and the scheduled long-term protective order hearing, during which time Elena would otherwise remain in the same home as her abuser.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separately authorizes a temporary restraining order where it clearly appears from specific facts that immediate and irreparable injury will result before the adverse party can be heard. The documented assault and death threat satisfy this standard. A temporary order should be entered immediately and remain in effect until the full hearing.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PROTECTIVE ORDER CANNOT BE NULLIFIED BY ANY INVITATION FROM ELENA TO CONTACT 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18.66.130(a) provides that if a respondent is prohibited from communicating with the petitioner, excluded from the petitioner's residence, or ordered to stay away from the petitioner, an invitation by the petitioner to communicate or have other prohibited contact does not waive or nullify any provision of the protective order. This provision ensures that Sarah may not circumvent the protective order by claiming that Elena consented to contact.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Importantly, the court is also expressly prohibited from ordering or referring the parties to mediation for resolution of issues arising from this petition. AS 18.66.130(c); Civil Rule 100(a). This protective order proceeding must be adjudicated on its merits, not resolved through a mediation process that could endanger Elena.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ELENA'S CONTACT INFORMATION MAY BE WITHHELD FROM COURT FILINGS TO PROTECT HER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pro se petitioner in this domestic violence proceeding, Elena is entitled to submit her mailing address and telephone number on a separate confidential form rather than including that information in her publicly filed pleadings. Civil Rule 65.1. Given that Sarah has threatened Elena's life, disclosure of Elena's location through public court filings would present a direct safety risk. Elena respectfully requests that the Court maintain her address information on a confidential form accessible only to the court, authorized court system personnel, and Elena.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G. VENUE IS PROPER IN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3(h) provides that a petition for a protective order on domestic violence under AS 18.66 may be filed in the court location closest to where the petitioner currently or temporarily resides, where the respondent resides, or where the domestic violence occurred. All three of those locations are Fairbanks, Alaska. Venue is therefore proper in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Okafor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ex parte protective order immediately pursuant to AS 18.66.110(a), ordering Sarah Okafor to vacate the shared residence at 412 Birchwood Lane, Fairbanks, Alaska, and to have no contact with Elena pending the scheduled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Following the hearing and upon finding by a preponderance of the evidence that Sarah has committed crimes involving domestic violence against Elena, issue a long-term protective order pursuant to AS 18.66.100 that: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   a. Prohibits Sarah from threatening to commit or committing further acts of domestic violence against Elena, pursuant to AS 18.66.100(c)(1);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   b. Prohibits Sarah from contacting Elena directly or indirectly, pursuant to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   c. Removes and excludes Sarah from the residence at 412 Birchwood Lane, Fairbanks, Alaska, regardless of ownership,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   d. Requires Sarah to remain at least 500 feet from Elena's person, workplace, and vehicle, pursuant to AS 18.66.100(c)(4);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   e. Requires Sarah to surrender her firearm to local law enforcement, pursuant to AS 18.66.100(c)(7);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   f. Orders such other and further relief as the Court determines is necessary to protect Elena, pursuant to AS 18.66.100(c)(16);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Permit Elena to file her contact information on a confidential form pursuant to Civil Rule 65.1.</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2026-08-16T23:06:37.029Z</dcterms:created>
  <dcterms:modified xsi:type="dcterms:W3CDTF">2026-08-16T23:06:37.029Z</dcterms:modified>
</cp:coreProperties>
</file>

<file path=docProps/custom.xml><?xml version="1.0" encoding="utf-8"?>
<Properties xmlns="http://schemas.openxmlformats.org/officeDocument/2006/custom-properties" xmlns:vt="http://schemas.openxmlformats.org/officeDocument/2006/docPropsVTypes"/>
</file>