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(doc-0134)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Petrova ("Petitioner") respectfully petitions this Court for a domestic violence protective order against his wife, Sarah Petrova ("Respondent"). The Respondent physically assaulted the Petitioner on March 3, 2025, and subsequently threatened him on March 17, 2025, both in writing and in person at his place of employment. These acts constitute crimes involving domestic violence as defined under Alaska law, and the Petitioner requires immediate court protection to ensure his safety. The Petitioner seeks a protective order requiring the Respondent to vacate their shared Anchorage residence, prohibiting all forms of contact, and barring the Respondent from coming within 500 feet of the Petitioner's home, workplace, and vehicle.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and Sarah Petrova are married and have lived together at a shared residence in Anchorage, Alaska, for approximately six years. They are household members within the meaning of applicable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3, 2025, following a dispute about finances, the Respondent grabbed the Petitioner by the collar, shoved him forcefully into a kitchen cabinet, and struck him twice in the face with an open hand. The assault left visible bruising near the Petitioner's left eye. This physical attack occurred within the shared marital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Approximately two weeks later, on March 17, 2025, the Respondent sent the Petitioner a series of text messages warning that if he attempted to leave the marriage or contact an attorney, she would "make sure he regretted it." Later that same day, the Respondent appeared unannounced outside the Petitioner's workplace and screamed threats in the parking lot in front of his coworkers. This conduct constitutes both threatening communications and a threatening public confrontation at the Petitioner's place of employment.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Petitioner now seeks a protective order excluding the Respondent from the shared residence, prohibiting all direct and indirect contact, and requiring the Respondent to stay at least 500 feet away from his home, workplace, and vehicle. The Petitioner is a pro se litigant and has submitted his mailing address and telephone number on a separate form in accordance with applicable court rules, omitting that information from this pleading.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protective order is filed, the court shall schedule a hearing and provide at least 10 days' notice to the respondent. If the court finds by a preponderance of evidence that the respondent has committed a crime involving domestic violence against the petitioner, the court may order any relief available under AS 18.66.977,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term "domestic violence" and "crime involving domestic violence" are defined under AS 18.66.964 to include offenses under AS 11.41, which encompasses crimes against the person, committed by a household member against another household member. The term "household member" is defined under AS 18.66.990(5) to include, among others, adults who are current or former spouses and adults who live together or who have lived together.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18.66.926, a petitioner who is a victim of a crime involving domestic violence may request an ex parte protective order. If the court finds that the petition establishes probable cause that a crime involving domestic violence has occurred and that it is necessary to protect the petitioner, the court shall issue a protective order ex parte and without notice to the respondent. An ex parte order may grant the protections provided by AS 18.66.100(c)(1) through (5), (8) through (12), and (16).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18.66.130(e) provides that a protective order issued under this chapter is in addition to and not in place of any other civil or criminal remedy, and a petitioner is not barred from seeking an order because of the existence of another civil action between the petitioner and the respondent.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Regarding venue, Civil Rule 3(h) permits a petition for a protective order based on domestic violence under AS 18.66 to be filed in either the judicial district or the court location closest to where the petitioner currently or temporarily resides, where the respondent resides, or where the domestic violence occurred. Because both parties reside in Anchorage and the acts of domestic violence occurred in Anchorage, venue is proper in this Court.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Respondent Is a Household Member Whose Conduct Constitutes Domestic Violence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a protective order under AS 18.66.100 is that the respondent must be a household member who has committed a crime involving domestic violence against the petitioner. Both elements are plainly satisfied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the Respondent qualifies as a household member. AS 18.66.990(5) defines "household member" to include "adults or minors who are current or former spouses" and "adults or minors who live together or who have lived together." Sarah Petrova is the Petitioner's current spouse, and the parties have lived together in Anchorage for approximately six years. There is no question that the Respondent is a household member under this definition.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Respondent's conduct constitutes a crime involving domestic violence. AS 18.66.990(3) defines "domestic violence" to mean, in relevant part, a crime against the person under AS 11.41, committed by a household member against another household member. On March 3, 2025, the Respondent grabbed the Petitioner by the collar, shoved him into a kitchen cabinet, and struck him twice in the face, causing visible bruising. This conduct constitutes assault, a crime against the person under AS 11.41, committed by a household member. The visible bruising near the Petitioner's left eye provides physical evidence corroborating that this assault resulted in bodily injury.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the Respondent's March 17, 2025 conduct, including threatening text messages and a threatening confrontation at the Petitioner's workplace, also falls within the scope of AS 18.66.990(3), which includes terrorist threatening and harassment offenses under AS 11.56 and AS 11.61 within the definition of domestic violence when committed by a household member. Statements that the Petitioner would "regret" seeking to leave the marriage or contact an attorney, combined with an unannounced appearance at his workplace to scream threats in front of coworkers, constitute threatening conduct designed to intimidate and coerce.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 in Sarah D. v. John D., 352 P.3d 419 (Alaska 2015), confirms that courts will examine a pattern of conduct over time when evaluating domestic violence, including both physical acts and threatening communications. Similarly, in Veronica Louise Hudson v. Daniel Lee Hudson, 532 P.3d 272 (Alaska 2023), the Alaska Supreme Court acknowledged that a party's fear of domestic violence retaliation, based on prior threats and incidents, is a legitimate consideration in the context of proceedings involving household members. The pattern of conduct here, physical assault followed by threatening communications and a workplace confrontation, establishes the type of ongoing danger that the domestic violence protective order statutes are designed to address.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Has Authority to Grant All of the Protective Relief the Petitioner Seeks.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Petitioner seeks three categories of relief: (1) exclusion of the Respondent from the shared residence, (2) prohibition on all forms of contact, and (3) a 500-foot stay-away requirement covering his home, workplace, and vehicle. Each form of requested relief is expressly authorized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exclusion from the residence, AS 18.66.100(c)(3) authorizes the court to "remove and exclude the respondent from the residence of the petitioner, regardless of ownership of the residence." This provision permits the court to order the Respondent to vacate the shared Anchorage home even though both parties have resided there. The Petitioner should not be required to leave his own home as a result of the Respondent's violent and threatening behavior.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the prohibition on contact, AS 18.66.100(c)(2) authorizes the court to "prohibit the respondent from telephoning, contacting, or otherwise communicating directly or indirectly with the petitioner." The Respondent's threatening text messages of March 17, 2025, demonstrate that electronic and written contact poses a real and ongoing risk to the Petitioner. A no-contact provision is both appropriate and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the stay-away requirement, AS 18.66.100(c)(4) authorizes the court to "direct the respondent to stay away from the residence, school, or place of employment of the petitioner or any specified place frequented by the petitioner or any designated household member." The Respondent's unannounced appearance at the Petitioner's workplace on March 17, 2025, to scream threats in front of coworkers makes clear that such a provision is essential. Additionally, AS 18.66.100(c)(5) authorizes the court to "prohibit the respondent from entering a propelled vehicle in the possession of or occupied by the petitioner," providing a further basis for the vehicle-related protection sought.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18.66.100(c)(16), the court may also "order other relief the court determines necessary to protect the petitioner or any household member," providing a broad catchall authority to fashion any additional protective terms warranted by the specific circumstances presented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 in Whalen v. Whalen, 425 P.3d 150 (Alaska 2018), addressed the duration and scope of protective orders under AS 18.66.100(c), confirming that the provisions available under subsections (c)(2) through (16) are effective for one year unless earlier dissolved by court order. While the Petitioner has requested a 90-day protective order, the Court is authorized to issue relief for up to one year under the statute, and the Court should tailor the duration as necessary to protect the Petitioner in light of the severity and recency of the Respondent's conduct.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A Lapse of Time Between Acts of Domestic Violence and Filing of This Petition Does Not Bar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Petitioner is aware that some time has passed between the March 3, 2025 assault and the filing of this petition. Under AS 18.66.100(e), "a court may not deny a petition for a protective order under this section solely because there is a lapse of time between an act of domestic violence and the filing of the petition." The Petitioner's delay in filing does not undermine the validity or urgency of his request. The Respondent's conduct on March 17, 2025, including both written threats and a workplace confrontation, demonstrates that the danger to the Petitioner is ongoing and not merely historical.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Respondent's Invitation or Contact Cannot Nullify the Protective Order Once Issued.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Petitioner wishes to ensure that this Court and all parties understand that any future contact initiated by the Respondent will not operate to waive or nullify the terms of the protective order. AS 18.66.130(a) provides that if a respondent is prohibited from communicating with the petitioner or ordered to stay away from the petitioner, "an invitation by the petitioner to communicate, enter the residence or vehicle, or have other prohibited contact with the petitioner does not waive or nullify any provision in a protective order." This provision ensures that the Respondent remains bound by the terms of any order issued, regardless of any subsequent interactions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Petitioner as a Pro Se Litigant Is Entitled to Address Confidentiality Protections.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65.1 provides that a petitioner who is appearing pro se in a proceeding to obtain a domestic violence protective order under AS 18.66.100 or 18.66.110 may submit the petitioner's mailing address and telephone number on a separate form and omit this information from other pleadings and papers filed with the court. The Petitioner has availed himself of this protection. Given the Respondent's pattern of appearing unannounced at locations associated with the Petitioner, this address confidentiality measure is not merely procedural but a meaningful safeguard for the Petitioner's safety during the pendency of this action.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Spousal Privilege Does Not Bar Consideration of the Respondent's Threatening Communications.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Petitioner acknowledges that the parties are currently married and anticipates that questions regarding spousal privilege may arise in connection with the threatening text messages sent by the Respondent on March 17, 2025. However, the evidentiary privileges associated with spousal communications do not shield the Respondent's conduct from consideration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R. Evid. 505(a)(2)(D)(v) provides that there is no spousal immunity privilege in a proceeding involving "a crime involving domestic violence as defined in AS 18.66.990 under all circumstances." Because this proceeding arises directly from crimes involving domestic violence, the Respondent may not invoke spousal immunity to prevent the Petitioner from testifying about her conduct.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Similarly, Alaska R. Evid. 505(b)(2)(A) provides that the confidential marital communications privilege does not apply if any of the exceptions under subdivision (a)(2) of that rule apply. Because the exception for domestic violence proceedings under Alaska R. Evid. 505(a)(2)(D)(v) applies here, the confidential communications privilege likewise does not shield the Respondent's threatening text messages from evidence. These messages were not private marital communications made in confidence; they were explicit threats transmitted for the purpose of intimidating the Petitioner and preventing him from exercising his legal rights.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record before this Court establishes, by a preponderance of the evidence, that Sarah Petrova has committed crimes involving domestic violence against Marcus Petrova, a household member, through a physical assault on March 3, 2025, and through threatening communications and a threatening public confrontation on March 17, 2025. The Petitioner is entitled to the full range of protective relief he seeks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Petitioner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 protective order under AS 18.66.100 requiring the Respondent to vacate and remain excluded from the shared Anchorage residence, pursuant to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Prohibit the Respondent from contacting the Petitioner directly or indirectly, by telephone, text, electronic means, or in person, pursuant to AS 18.66.100(c)(2);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Direct the Respondent to remain at least 500 feet away from the Petitioner's residence, place of employment, and vehicle, pursuant to AS 18.66.100(c)(4) and (c)(5);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Order any additional relief the Court deems necessary to protect the Petitioner's safety and well-being, pursuant to AS 18.66.100(c)(16).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Petitioner further requests that if this Court determines that the foregoing showing establishes probable cause, an ex parte protective order be issued immediately under AS 18.66.110(a) pending the noticed hearing, to protect the Petitioner from further acts of domestic violence during the intervening period.</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2026-08-16T23:07:55.081Z</dcterms:created>
  <dcterms:modified xsi:type="dcterms:W3CDTF">2026-08-16T23:07:55.081Z</dcterms:modified>
</cp:coreProperties>
</file>

<file path=docProps/custom.xml><?xml version="1.0" encoding="utf-8"?>
<Properties xmlns="http://schemas.openxmlformats.org/officeDocument/2006/custom-properties" xmlns:vt="http://schemas.openxmlformats.org/officeDocument/2006/docPropsVTypes"/>
</file>