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age 34, respectfully petitions this Court for a domestic violence protective order against his brother, Wesley Whitfield, age 38, pursuant to AS 18.66.100. Both parties currently reside together at 412 Birchwood Lane, Fairbanks, Alaska. Wesley's conduct toward Marcus includes repeated physical assault on March 3, 2025, and a subsequent threat made with a knife on March 9, 2025. Marcus seeks an order directing Wesley to vacate the shared residence, cease all contact with Marcus by any means, and remain at least 500 feet from Marcus's place of employment at Northern Tool Supply, 88 Cushman Street, Fairbanks, Alaska. The pattern of violence and threatening conduct Marcus has endured constitutes domestic violence under Alaska law and warrants the relief requested herein.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and Wesley Whitfield are brothers who have shared a residence at 412 Birchwood Lane, Fairbanks, Alaska. As household members residing together, they fall squarely within the class of persons protected by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3, 2025, Wesley struck Marcus repeatedly with a closed fist during an argument regarding household finances. The assault caused visible bruising to Marcus's left eye and cheek. Marcus sought medical treatment at Fairbanks Memorial Hospital on the morning of March 4, 2025, for injuries sustained in the attack. Medical records from that visit document the nature and extent of Marcus's injuries.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violence did not end with the March 3 assault. On March 9, 2025, Wesley cornered Marcus inside the shared kitchen at 412 Birchwood Lane. Wesley held a kitchen knife in Marcus's direction and stated: "If you call the police or try to leave, I will make sure you regret it." This explicit threat, made while Wesley held a deadly weapon, constitutes both criminal threatening and assault under Alaska law, and places Marcus in reasonable fear of further physical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continues to reside at the same address as Wesley, leaving him in daily proximity to his abuser. Wesley's escalating conduct, which progressed from physical assault to armed threatening within a period of six days, places Marcus at serious and ongoing risk of further violence. Marcus respectfully requests that this Court issue the protective relief described in Section IV below.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domestic violence protective order is filed, the court shall schedule a hearing and provide the respondent at least 10 days' notice of the hearing and the respondent's right to appear and be heard. If the court finds by a preponderance of the evidence that the respondent has committed a crime involving domestic violence against the petitioner, regardless of whether the respondent appears,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circumstances are urgent, AS 18.66.110(a) authorizes the court to issue an ex parte protective order without notice to the respondent if the petition establishes probable cause that a crime involving domestic violence has occurred and that issuance of the order is necessary to protect the petitioner. An ex parte order issued under that provision expires 20 days after issuance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courts retain broad authority to fashion protective relief appropriate to the facts presented. In Mitchell v. Mitchell, 445 P.3d 660 (Alaska 2019), the court recognized that protective order proceedings are designed to protect victims of domestic violence and that the statutory framework must be applied in light of that protective purpose. In Andrea C. v. Marcus K., 355 P.3d 521 (Alaska 2015), the court acknowledged that findings of domestic violence made in a protective order proceeding may have significant and lasting consequences, reinforcing that courts must take such proceedings seriously and evaluate the evidence presented with care. In Thomas v. Thomas, 171 P.3d 98 (Alaska 2007), the court affirmed the issuance of a long-term protective order on facts involving physical assault within the family home, illustrating that the kind of conduct described herein is precisely what the statutory scheme is designed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further recognize that the standard of proof for issuance of a long-term protective order is a preponderance of the evidence, consistent with AS 18.66.100(b). As discussed in Whalen v. Whalen, 425 P.3d 150 (Alaska 2018), the purpose of AS 18.66.100 is self-evidently to protect victims of domestic violence, and courts are to apply the statute with that goal in mind. McGraw v. Cox, 285 P.3d 276 (Alaska 2012) similarly confirms that sufficient evidence of a domestic violence crime supports issuance of a protective order. In Jmr v. Str, 15 P.3d 253 (Alaska 2001), the Alaska Supreme Court addressed the procedural framework governing ex parte and long-term protective orders, confirming that the procedures set out in AS 18.66.110 and AS 18.66.100 work together to provide both immediate and lasting protection to victims.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pursuant to AS 18.66.100(e), the court may not deny a petition for a protective order solely because there is a lapse of time between an act of domestic violence and the filing of the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MARCUS WHITFIELD IS A VICTIM OF DOMESTIC VIOLENCE COMMITTED BY A HOUSEHOLD MEMBER, AND THIS COURT HAS AUTHORITY TO ISSUE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18.66.100(a), a person who is or has been a victim of a crime involving domestic violence may file a petition in the district or superior court for a protective order against a household member. Marcus and Wesley Whitfield are brothers who share a residence at 412 Birchwood Lane, Fairbanks, Alaska, making Wesley a household member within the meaning of the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conduct on March 3, 2025, which consisted of striking Marcus repeatedly with a closed fist and causing bruising to his eye and cheek, constitutes assault, a crime involving domestic violence. Medical records from Fairbanks Memorial Hospital corroborate the injuries Marcus sustained. Wesley's subsequent conduct on March 9, 2025, in which he cornered Marcus in the kitchen while holding a kitchen knife and issued a direct verbal threat, constitutes both assault and criminal threatening. The use of a knife in making that threat is particularly significant, as it involves the actual display of a deadly weapon against Marcus while Wesley communicated an intent to harm him.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Wesley's repeated physical violence and armed threatening satisfy the preponderance of the evidence standard set out in AS 18.66.100(b). This Court should find that Wesley has committed crimes involving domestic violence against Marcus and should issue the requested protective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SPECIFIC RELIEF MARCUS REQUESTS IS EXPRESSLY AUTHORIZED BY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relief Marcus seeks, namely Wesley's removal from the residence, a prohibition on any contact, and a stay-away order covering Marcus's workplace, is expressly authorized by AS 18.66.100(c). Each element of the requested order corresponds directly to one or more enumerated provisions of the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Marcus requests that Wesley be directed to vacate and be excluded from 412 Birchwood Lane, the shared residence, regardless of any ownership interest Wesley may assert. This relief is authorized by AS 18.66.100(c)(3), which provides that the court may "remove and exclude the respondent from the residence of the petitioner, regardless of ownership of the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Marcus requests that Wesley be prohibited from telephoning, contacting, or otherwise communicating directly or indirectly with Marcus by any means, including in person, by telephone, by text message, or by any electronic medium. This relief is authorized by AS 18.66.100(c)(2), which authorizes the court to "prohibit the respondent from telephoning, contacting, or otherwise communicating directly or indirectly with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Marcus requests that Wesley be directed to remain at least 500 feet from Northern Tool Supply at 88 Cushman Street, Fairbanks, Alaska, Marcus's place of employment. This relief is authorized by AS 18.66.100(c)(4), which authorizes the court to "direct the respondent to stay away from the residence, school, or place of employment of the petitioner or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because Wesley held a kitchen knife in Marcus's direction during the March 9, 2025 incident, the court is authorized under AS 18.66.100(c)(6) to prohibit Wesley from using or possessing a deadly weapon. Where the court finds that Wesley was in actual possession of a weapon during the commission of domestic violence, it may also direct him under AS 18.66.100(c)(7) to surrender any firearm owned or possessed by him.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AS 18.66.100(c)(16) authorizes the court to "order other relief the court determines necessary to protect the petitioner or any household member." To the extent any element of the relief Marcus requests is not covered by a specific enumerated provision, this catch-all provision supports its inclusion in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MARCUS WHITFIELD'S SAFETY IS AT ONGOING RISK, AND THE COURT SHOULD ISSUE AN EX PARTE PROTECTIVE ORDER PENDING A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that Marcus and Wesley continue to share a residence, and given the escalating nature of Wesley's conduct over the six-day period from March 3 through March 9, 2025, there is clear and immediate danger that Wesley will commit further acts of domestic violence against Marcus before a noticed hearing can be held. In such circumstances, AS 18.66.110(a) authorizes this Court to issue an ex parte protective order on a finding of probable cause that a crime involving domestic violence has occurred and that the order is necessary to protect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facts set forth above, corroborated by medical records documenting Marcus's injuries and Marcus's own certified statement as required under AS 18.66.110(a), more than satisfy the probable cause threshold for ex parte relief. Wesley escalated from physical assault with his fists to armed threatening with a kitchen knife in fewer than seven days. Marcus has nowhere else to go while remaining in proximity to Wesley at the shared address. Every day without a protective order in place is a day during which Marcus faces the risk of additional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issue an immediate ex parte order removing Wesley from 412 Birchwood Lane, prohibiting contact of any kind, and requiring Wesley to stay away from Marcus's workplace. That order will remain in effect for 20 days, as provided by AS 18.66.110(a), pending a full hearing at which Marcus will have the opportunity to present his evidence and at which Wesley will have the opportunity to appear and respond.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MARCUS'S PETITION IS PROPERLY FILED IN THIS COURT AND NO FILING FEE IS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Civil Rule 3(h), a petition for a protective order on domestic violence under AS 18.66 may be filed in the judicial district or the court location closest to where the petitioner currently or temporarily resides, where the respondent resides, or where the domestic violence occurred. All three locations in this matter, specifically the shared residence at 412 Birchwood Lane, are within the Fairbanks judicial district. This Court is therefore the proper venue for Marcus's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Pursuant to AS 18.66.150(d), filing fees may not be charged in any action seeking only the relief provided in this chapter. No filing fee should be assessed in connection with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MARCUS'S INVITATION TO COMMUNICATE OR RETURN TO THE RESIDENCE CANNOT WAIVE THE PROTECTIVE ORDER ONCE ISSUED.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is aware that once a protective order is entered, any future communication or contact Wesley initiates, even if Marcus were to respond, would not constitute a waiver or nullification of the order's terms. Under AS 18.66.130(a), an invitation by the petitioner to communicate, enter the residence or vehicle, or have other prohibited contact does not waive or nullify any provision in a protective order. Marcus is further advised, and this Court should confirm, that mediation between the parties is not appropriate and may not be ordered in this matter. Civil Rule 100(a) states that mediation may not be ordered between the parties to, or in, a case filed under AS 18.66.100 through 18.66.180. AS 18.66.130(c) similarly provides that a court may not order parties into mediation or refer them to mediation for resolution of issues arising from a petition for a protective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COURT SHOULD NOT GIVE WEIGHT TO CLAIMS THAT MARCUS PROVOKED OR INVITED THE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Wesley assert at any hearing that Marcus bears some responsibility for the incidents described herein, this Court should apply Alaska R. Evid. 404(a) carefully. That rule addresses the circumstances under which character evidence may be offered, and any attempt to introduce Marcus's alleged character traits to suggest that he acted in conformity with those traits is strictly limited by the rule's requirements. Evidence of Wesley's own history of violent or threatening conduct, by contrast, would be relevant to the question of whether Marcus's fear is objectively reasonable and whether the relief requested is necessary to protect him. The court should evaluate any such evidence consistent with the procedural requirements of Alaska R. Evid. 404(a), including conducting any required hearing on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State v. Strane, 61 P.3d 1284 (Alaska 2003) addressed the standard for knowing and intentional violation of protective orders, confirming that protective orders are intended to be enforced according to their terms and that respondents are bound by those terms regardless of claimed ambiguity. This supports issuing a clear, unambiguous order that Wesley will be on notice of and legally obligated to obey.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has suffered repeated and escalating acts of domestic violence at the hands of his brother and household member, Wesley Whitfield. Wesley physically assaulted Marcus on March 3, 2025, causing documented injuries requiring medical attention, and six days later cornered Marcus and threatened him with a kitchen knife. Marcus continues to reside in the same home as Wesley, placing him at immediate and ongoing risk of further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Marcus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pursuant to AS 18.66.110(a) directing Wesley Whitfield to vacate 412 Birchwood Lane, Fairbanks, Alaska, to have no contact with Marcus Whitfield by any means, and to remain at least 500 feet from Marcus's place of employment at Northern Tool Supply, 88 Cushman Street, Fairbanks,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hearing on a long-term protective order pursuant to AS 18.66.100(b) at the earliest available date, with at least 10 days' notice to Wesley Whitfield;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After a full hearing, issue a long-term protective order pursuant to AS 18.66.100(c) granting the same relief described above for a period of one year, and additionally prohibiting Wesley Whitfield from using or possessing a deadly weapon pursuant to AS 18.66.100(c)(6), directing him to surrender any firearm pursuant to AS 18.66.100(c)(7), and granting any other relief this Court deems necessary under AS 18.66.100(c)(16) to protect Marcus Whitfield's safety;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Assess no filing fee pursuant to AS 18.66.150(d).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Respectfully submitted by Marcus Whitfield, Petitioner, appearing pro se.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2026-08-16T23:14:46.272Z</dcterms:created>
  <dcterms:modified xsi:type="dcterms:W3CDTF">2026-08-16T23:14:46.272Z</dcterms:modified>
</cp:coreProperties>
</file>

<file path=docProps/custom.xml><?xml version="1.0" encoding="utf-8"?>
<Properties xmlns="http://schemas.openxmlformats.org/officeDocument/2006/custom-properties" xmlns:vt="http://schemas.openxmlformats.org/officeDocument/2006/docPropsVTypes"/>
</file>