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(doc-0138)</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Renee Okafor respectfully requests that this Court issue a domestic violence protective order against Respondent Sarah Okafor pursuant to AS 18.66.965. On March 4, 2025, Sarah physically assaulted Renee by grabbing her hair and slamming her head into a kitchen counter, causing a laceration requiring emergency medical treatment. Five days later, Sarah sent threatening text messages warning Renee that she would "regret" any attempt to leave and would be denied access to the parties' minor children. These acts constitute crimes involving domestic violence as defined under Alaska law, and Renee now seeks this Court's protection in the form of a no-contact order, exclusive use of the marital residence, and temporary custody of the parties' two minor children pending further proceedings.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Renee Okafor and Respondent Sarah Okafor are married and reside together at a shared residence in Anchorage, Alaska. The parties have two minor children together. On March 4, 2025, during an argument about finances, Sarah grabbed Renee by the hair and slammed Renee's head against the kitchen counter. The blow caused a visible laceration above Renee's left eyebrow. Renee sought and received medical treatment at Providence Alaska Medical Center for the injury resulting from this assault.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March 9, 2025, Sarah sent Renee a series of text messages stating: "if you try to leave me I will make sure you never see the kids again, and you will regret it." Renee understood this message as a credible threat of future harm, particularly in light of Sarah's physical violence only five days earlier. The threatening text messages caused Renee reasonable apprehension of further physical harm and heightened concern for the safety and welfare of the parties' two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continue to reside at the same residence, placing Renee in ongoing proximity to Sarah. Renee has not provoked Sarah's conduct and has not invited any further contact. Renee seeks relief from this Court to ensure her physical safety and the safety of the children.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18.66.100(b), when a petition for a protective order is filed, the court shall schedule a hearing and provide at least ten days' notice to the respondent of the hearing and of the respondent's right to appear and be heard. If the court finds by a preponderance of the evidence that the respondent has committed a crime involving domestic violence against the petitioner, the court may order any of the relief enumerated in AS 18.66.100(c), regardless of whether the respondent appears at the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a petitioner demonstrates an immediate need for protection before a full hearing can be held, AS 18.66.110(a) authorizes the court to issue an ex parte protective order upon a finding of probable cause that a crime involving domestic violence has occurred and that such an order is necessary to protect the petitioner. An ex parte protective order issued under AS 18.66.110(a) expires twenty days after issuance unless dissolved earlier.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a long-term order following a full hearing under AS 18.66.100(b), the court may grant a broad range of relief, including prohibiting contact, removing the respondent from the residence, awarding temporary custody of minor children, and ordering any other relief the court determines necessary to protect the petitioner or any household member. The Alaska Supreme Court has recognized that courts possess broad discretion in fashioning protective order relief based on the specific facts presented in each case. Whalen v. Whalen, 425 P.3d 150 (Alaska 2018).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petitioner who is appearing without an attorney in a domestic violence protective order proceeding may submit her mailing address and telephone number on a separate form and omit that information from other filings with the court. Civil Rule 65.1. This confidentiality protection ensures that a petitioner's location is not disclosed to the respondent through court filings.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under Civil Rule 3(h), a petition for a domestic violence protective order may be filed in the judicial district or court location closest to where the petitioner currently or temporarily resides, where the respondent resides, or where the domestic violence occurred. As all of these locations are in Anchorage, Alaska, venue is proper in this Court.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RENEE HAS ESTABLISHED BY A PREPONDERANCE OF THE EVIDENCE THAT SARAH COMMITTED A CRIME INVOLVING DOMESTIC VIOLENCE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physical assault of March 4, 2025, constitutes a crime involving domestic violence. Sarah grabbed Renee by the hair and slammed her head into the kitchen counter with sufficient force to cause a laceration requiring medical treatment. The parties are married and share a residence, making them household members within the meaning of AS 18.66.100. The injury Renee sustained, a laceration above her left eyebrow treated at Providence Alaska Medical Center, constitutes objective medical evidence corroborating the occurrence of this assault. The Alaska Supreme Court has affirmed that physical acts of violence between household members, even a single incident, can support the issuance of a domestic violence protective order. Thomas v. Thomas, 171 P.3d 98 (Alaska 2007).</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addition to the physical assault, Sarah's threatening text messages of March 9, 2025, stating that Renee would "regret" attempting to leave and would be denied access to the children, constitute a further basis for relief. These messages, sent in the immediate aftermath of physical violence, reasonably caused Renee to fear for her physical safety and the safety of her children. The combination of physical assault followed by threatening communications directed at a spouse who is a household member satisfies the standard for a finding of domestic violence under AS 18.66.100(b).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the court may not deny a petition for a protective order solely because of any lapse of time between the act of domestic violence and the filing of the petition. AS 18.66.100(e). Renee filed this petition promptly following both the physical assault and the threatening messages, and there is no meaningful lapse that could call into question the validity of this petition.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COURT SHOULD PROHIBIT SARAH FROM CONTACTING OR COMING WITHIN 500 FEET OF RENEE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18.66.100(c)(2), a protective order may prohibit the respondent from telephoning, contacting, or otherwise communicating directly or indirectly with the petitioner. Under AS 18.66.100(c)(4), the order may direct the respondent to stay away from the residence, school, or place of employment of the petitioner or any specified place frequented by the petitioner or any designated household member.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text messages of March 9, 2025, demonstrate that Sarah is willing to use communications as a vehicle to threaten and intimidate Renee. Given the combination of physical violence and threatening communications occurring within a five-day span, a no-contact provision and a 500-foot stay-away order are necessary and appropriate to prevent further harm. The Alaska Supreme Court has recognized that courts should craft protective order provisions that specifically address the methods by which a respondent has threatened or harmed a petitioner. Sarah D. v. John D., 352 P.3d 419 (Alaska 2015).</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Importantly, AS 18.66.931 provides that if a respondent is prohibited from communicating with the petitioner or ordered to stay away from the petitioner, any invitation by the petitioner to have such contact does not waive or nullify any provision of the protective order. This ensures that Sarah cannot argue that any subsequent invitation from Renee, made perhaps under duress or in the hope of reconciliation, serves to dissolve the protections this Court orders.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THE COURT SHOULD GRANT RENEE EXCLUSIVE USE OF THE MARITAL RESIDENCE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18.66.100(c)(3), a protective order may remove and exclude the respondent from the residence of the petitioner, regardless of ownership of the residence. Under AS 18.66.100(c)(10), the court may also give the petitioner possession and use of a vehicle and other essential personal items, regardless of ownership.</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and Sarah currently reside together at the same Anchorage residence. Requiring Renee to continue sharing a residence with the person who physically assaulted her and subsequently threatened her would place Renee in immediate and ongoing danger. There is no safe alternative if Sarah remains in the home. Courts must evaluate whether the safety of the petitioner and any children can be protected, and here the answer to that inquiry plainly requires removal of Sarah from the shared residence. Renee respectfully requests that this Court grant her exclusive use and possession of the marital residence as part of any protective order issued.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AS 25.24.140(b)(3) confirms that during the pendency of a domestic relations action, a spouse is entitled to necessary protective orders directing the other spouse to vacate the marital residence or the home of the other spouse. This provision reinforces the relief sought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SHOULD AWARD RENEE TEMPORARY CUSTODY OF THE PARTIES' TWO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18.66.100(c)(9), a protective order may award temporary custody of a minor child to the petitioner and may arrange for visitation with a minor child if the safety of the child and the petitioner can be protected. Sarah's physical assault of Renee and her explicit threat to weaponize the parties' children against Renee ("I will make sure you never see the kids again") demonstrate that Sarah is willing to use the children as instruments of control and intimidation. This conduct raises serious questions about the safety and welfare of the minor children in Sarah's care.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 award of temporary custody to Renee is warranted to protect the children's safety and to prevent Sarah from using custody as a mechanism to continue threatening or coercing Renee. If the Court determines that visitation is appropriate, any such visitation should be conditioned on arrangements that protect both the children and Renee from further harm, consistent with AS 18.66.100(c)(9).</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E. MEDIATION IS NOT APPROPRIATE IN THIS PROCEEDING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18.66.130(c) explicitly provides that a court may not order parties into mediation or refer them to mediation for resolution of issues arising from a petition for a protective order under AS 18.66.100 through AS 18.66.180. Civil Rule 100(a) similarly states that mediation may not be ordered between the parties to, or in, a case filed under AS 18.66.100 through AS 18.66.180. Accordingly, any attempt to resolve this matter through mediation would be procedurally improper and legally barred. Renee does not consent to mediation and respectfully requests that no such referral be made.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F. SARAH CANNOT DEFEAT THIS PETITION BY ARGUING THAT RENEE INVITED CONTACT OR THAT THE EVENTS WERE ISOLATED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Sarah may attempt to minimize the gravity of the March 4, 2025, assault or argue that the subsequent text messages were not intended as threats. However, AS 18.66.100(e) provides that the Court may not deny a petition solely because of a lapse of time between the act of domestic violence and the filing of the petition, or because the act was the basis of a previous protective order. The physical evidence of Renee's injury, the medical records from Providence Alaska Medical Center, and the documentary record of Sarah's threatening text messages together constitute more than sufficient evidence to satisfy the preponderance of the evidence standard under AS 18.66.100(b).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as noted above, AS 18.66.130(a) confirms that any invitation by Renee to Sarah to communicate or have contact does not waive or nullify any provision of a protective order once issued. Sarah cannot avoid the legal effect of any order this Court enters by pointing to subsequent voluntary contact by Renee.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Okafor has established by a preponderance of the evidence that Sarah Okafor committed a crime involving domestic violence against her on March 4, 2025, and followed that assault with threatening communications on March 9, 2025. The combination of physical injury requiring medical treatment and explicit threats directed at Renee's liberty, safety, and parental relationship with the children compels this Court to act. Renee respectfully requests that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Issue a domestic violence protective order pursuant to AS 18.66.100 prohibiting Sarah from contacting or communicating with Renee by any means, directly or indirectly;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Order Sarah to stay away from Renee and from the marital residence, workplace, and any other location frequented by Renee, including a minimum distance of 500 feet;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Grant Renee exclusive use and possession of the marital residence pursuant to AS 18.66.100(c)(3) and AS 25.24.140(b)(3);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Award Renee temporary custody of the parties' two minor children pursuant to AS 18.66.100(c)(9), with any visitation by Sarah conditioned on arrangements sufficient to protect the safety of the children and Renee;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Grant any other relief the Court determines to be necessary to protect Renee and the parties' minor children from further harm, as authorized by AS 18.66.100(c)(16).</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2026-08-16T23:16:52.270Z</dcterms:created>
  <dcterms:modified xsi:type="dcterms:W3CDTF">2026-08-16T23:16:52.270Z</dcterms:modified>
</cp:coreProperties>
</file>

<file path=docProps/custom.xml><?xml version="1.0" encoding="utf-8"?>
<Properties xmlns="http://schemas.openxmlformats.org/officeDocument/2006/custom-properties" xmlns:vt="http://schemas.openxmlformats.org/officeDocument/2006/docPropsVTypes"/>
</file>