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REQUEST FOR A DOMESTIC VIOLENCE PROTECTIVE ORDER</w:t>
      </w:r>
    </w:p>
    <w:p>
      <w:pPr>
        <w:spacing w:after="0" w:before="0" w:line="240"/>
        <w:jc w:val="center"/>
      </w:pPr>
      <w:r>
        <w:rPr>
          <w:rFonts w:ascii="Times New Roman" w:cs="Times New Roman" w:eastAsia="Times New Roman" w:hAnsi="Times New Roman"/>
          <w:b w:val="false"/>
          <w:bCs w:val="false"/>
          <w:sz w:val="24"/>
          <w:szCs w:val="24"/>
        </w:rPr>
        <w:t xml:space="preserve">(doc-0140)</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Petitioner Renee Larsen respectfully submits this brief in support of her petition for an emergency ex parte protective order and a subsequent long-term protective order pursuant to AS 18.66.110 and AS 18.66.100. Over the course of six days in March 2025, Respondent Michael Larsen committed acts of physical violence against Petitioner, made explicit threats against her safety, and appeared uninvited at a private residence where Petitioner had sought refuge, shouting threats in the presence of their minor children. These acts constitute crimes involving domestic violence as defined under Alaska law and establish clear grounds for the relief Petitioner now seeks. Petitioner requests that this Court issue an emergency 20-day ex parte protective order followed by a long-term protective order prohibiting all contact between Michael Larsen and Petitioner and their minor children, requiring Michael Larsen to vacate the marital residence, and directing him to remain at least 500 feet from Petitioner's home, her place of employment, and the children's school.</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Renee Larsen and Michael Larsen have been married for seven years and share a residence in Anchorage, Alaska. The parties have two minor children who reside in the marital home. Petitioner has been attempting to separate from Respondent and relocate with the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 March 4, 2025, during an argument at the marital residence, Michael Larsen grabbed Petitioner by the arm and shoved her into a kitchen cabinet, causing physical injury. Respondent then directly threatened Petitioner, stating that he would "make her regret it" if she attempted to take the children and move out. This threat was made in direct response to Petitioner's stated intention to leave with the minor children, and it was designed to intimidate Petitioner and prevent her from exercising her right to leave the relationship safely.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Five days later, on March 9, 2025, Respondent appeared without invitation at the private residence of Petitioner's sister, where Petitioner had temporarily relocated with the children after the March 4 incident. Respondent pounded on the door and shouted that he would "find her no matter where she went." The Petitioner and both minor children were forced to retreat to a back room of the residence. Neighbors who witnessed the incident contacted law enforcement. This conduct demonstrates not only Respondent's willingness to track Petitioner to locations she believed to be safe, but also his intent to intimidate and control her.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Petitioner is currently without a stable, safe residence and fears for the physical safety of herself and her children. She brings this petition seeking immediate emergency relief and a long-term protective order to ensure the safety of herself and the minor children.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18.66.110(a), a victim of a crime involving domestic violence may petition the court for an ex parte protective order. The court shall issue such an order if it finds that the petition establishes probable cause that a crime involving domestic violence has occurred, that issuance of the order is necessary to protect the petitioner from domestic violence, and that the petitioner has certified in writing the efforts made to provide notice to the respondent. An ex parte protective order issued under this provision expires 20 days after issuance unless dissolved earlier.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Following the issuance of an ex parte protective order, AS 18.66.100(b) provides that the court shall schedule a hearing with at least 10 days' notice to the respondent. At that hearing, if the court finds by a preponderance of the evidence that the respondent has committed a crime involving domestic violence against the petitioner, the court may order any relief available under AS 18.66.100(c). Among the forms of relief available, the court may prohibit the respondent from contacting or communicating with the petitioner, remove and exclude the respondent from the petitioner's residence, direct the respondent to stay away from the petitioner's residence, school, or place of employment, award temporary custody of minor children to the petitioner, and order such other relief as the court finds necessary to protect the petitioner and household members.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65(b) permits the court to issue a temporary restraining order without notice to the adverse party when specific facts shown by affidavit or verified complaint demonstrate that immediate and irreparable injury will result to the applicant before the adverse party can be heard in opposition.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25.24.140(b), during the pendency of a domestic relations action, a spouse is entitled to necessary protective orders, including orders directing one spouse to vacate the marital residence, restraining a spouse from communicating with the other, and providing for the freedom of each spouse from the control of the other.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Additionally, Civil Rule 65(e) provides that a standing preliminary injunction in domestic relations actions may restrain the parties from threatening, harassing, or harming the other party, and from removing minor children from the State of Alaska without the written consent of the other party.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Alaska courts have interpreted the domestic violence protective order statutes broadly and with attention to the safety of victims and children. In Thomas v. Thomas, 171 P.3d 98 (Alaska 2007), the Alaska Supreme Court addressed circumstances involving a pattern of physical violence and threats and affirmed the propriety of protective orders under AS 18.66.100. In Stephan P. v. Cecilia A., 464 P.3d 266 (Alaska 2020), the court recognized that uninvited appearances at locations frequented by a petitioner and persistent disregard for established boundaries are relevant to the issuance and scope of protective orders. The court in Yelena R. v. George R., 326 P.3d 989 (Alaska 2014) addressed the weight to be given to a pattern of intimidating conduct when determining whether a long-term protective order is warranted.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Furthermore, AS 18.66.100(e) expressly provides that a court may not deny a petition for a protective order solely because there is a lapse of time between an act of domestic violence and the filing of the petition, or because a previous protective order was based on the same conduct. Under AS 18.66.130(a), any invitation by the petitioner to the respondent to communicate or return does not waive or nullify any provision of a protective order once issued. AS 18.66.130(e) confirms that a protective order is in addition to and not in place of any other civil or criminal remedy.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Venue is proper in this Court under Civil Rule 3(h), which permits a petition for a domestic violence protective order to be filed in the court location closest to where the petitioner currently or temporarily resides, where the respondent resides, or where the domestic violence occurred. All of these locations are within Anchorage, Alaska.</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Petitioner Has Established Probable Cause That Crimes Involving Domestic Violence Have Occurred, Warranting Issuance of an Emergency Ex Parte Protective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threshold for issuance of an emergency ex parte protective order under AS 18.66.110(a) is probable cause to believe that a crime involving domestic violence has occurred and that the order is necessary to protect the petitioner. Petitioner satisfies this standard on both grounds.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 March 4, 2025, Respondent physically grabbed Petitioner's arm and shoved her into a kitchen cabinet. This conduct constitutes assault, a crime involving domestic violence under Alaska law. Respondent then threatened to "make her regret it" if she attempted to leave with the children, which constitutes both a threat of further violence and an effort to exercise coercive control over Petitioner and the children. Five days later, Respondent tracked Petitioner to her sister's residence, pounded on the door, and issued further explicit threats, stating he would "find her no matter where she went." The presence of the minor children during this incident, the need for police involvement by third-party neighbors, and Petitioner's need to shelter in a back room of a private home together demonstrate that Respondent's conduct was threatening, ongoing, and escalating.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18.66.110(a) states that "if the court finds that the petition establishes probable cause that a crime involving domestic violence has occurred, it is necessary to protect the petitioner from domestic violence, and if the petitioner has certified to the court in writing the efforts, if any, that have been made to provide notice to the respondent, the court may ex parte and without notice to the respondent issue a protective order." Each of these conditions is met here. The physical assault on March 4 and the threatening confrontation on March 9 together establish probable cause. The escalating pattern of conduct makes immediate protection necessary. Petitioner has certified the notice efforts, or lack thereof, as required.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Civil Rule 65(b), the Court may act without notice to Respondent where immediate and irreparable injury is demonstrated. Respondent has already shown that he is capable of and willing to locate Petitioner at undisclosed locations. Any delay in issuing protective relief creates a real and immediate risk of further physical harm to Petitioner and the minor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in Thomas v. Thomas, 171 P.3d 98 (Alaska 2007), affirmed the propriety of protective orders where the petitioner described a pattern of physical violence and intimidation by the respondent. That pattern is present here in acute form. Within the span of less than one week, Respondent both physically assaulted Petitioner and then pursued her to a location she had not disclosed to him, issuing additional threats in the presence of their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Petitioner Is Entitled to a Long-Term Protective Order Following the Scheduled Hearing.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Following the issuance of the emergency ex parte order, Petitioner will be entitled to a long-term protective order under AS 18.66.100(b) upon a showing by a preponderance of the evidence that Respondent committed a crime involving domestic violence against her. The preponderance standard is less demanding than probable cause, and the facts of this case satisfy it comfortably.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physical assault on March 4, 2025 is corroborated by the resulting injury and by the explicit threat that accompanied it. Respondent's conduct on March 9, 2025 is corroborated by the observations of neighbors who were alarmed enough to contact law enforcement. This contemporaneous third-party corroboration is significant. In Yelena R. v. George R., 326 P.3d 989 (Alaska 2014), the court gave weight to third-party testimony and corroborating observations in assessing the credibility of a petitioner's account of domestic violence. Here, the neighbors' decision to call police during the March 9 incident provides exactly that kind of contemporaneous, independent corroboration.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Respondent's conduct also demonstrates a pattern of escalation rather than isolated incident. His March 4 threat was directed at preventing Petitioner from leaving with the children, and his March 9 appearance demonstrated both his intent to locate her regardless of where she went and his willingness to confront her in the presence of the children. In Stephan P. v. Cecilia A., 464 P.3d 266 (Alaska 2020), the court recognized that uninvited appearances at private locations, combined with a demonstrated disregard for the petitioner's physical safety and boundaries, support the issuance of a long-term protective order. The court in Sarah D. v. John D., 352 P.3d 419 (Alaska 2015) similarly recognized that a pattern of conduct including both physical violence and violations of personal boundaries supported the scope of relief granted.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18.66.100(c) provides a broad range of relief the court may order upon such a finding. Petitioner specifically requests the following forms of relief, each of which is available under AS 18.66.100(c) and warranted by the facts presented: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First, Petitioner requests that Respondent be prohibited from telephoning, contacting, or otherwise communicating directly or indirectly with Petitioner or the minor children. AS 18.66.100(c)(2) expressly authorizes this relief. Respondent has already demonstrated that he will seek out Petitioner regardless of where she goes, and a no-contact order is essential to prevent further harassment and intimidation.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Second, Petitioner requests that Respondent be removed and excluded from the marital residence. AS 18.66.100(c)(3) authorizes the court to remove and exclude a respondent from the petitioner's residence regardless of ownership. Petitioner has a right to return to and safely occupy the marital home. Respondent's continued presence at that location is incompatible with Petitioner's physical safety. AS 25.24.140(b)(3) independently authorizes the court to direct one spouse to vacate the marital residence during the pendency of the action.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Third, Petitioner requests that Respondent be directed to stay at least 500 feet away from Petitioner's residence, her place of employment, and the children's school. AS 18.66.100(c)(4) authorizes the court to direct a respondent to stay away from the residence, school, or place of employment of the petitioner or any specified place frequented by the petitioner or any designated household member. Respondent's conduct on March 9 demonstrates his willingness to appear at locations where Petitioner is present. A 500-foot exclusion zone around these locations is necessary to provide meaningful protection.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Fourth, Petitioner requests that temporary custody of the minor children be awarded to her. AS 18.66.100(c)(9) permits the court to award temporary custody of a minor child to the petitioner and to arrange for visitation if the safety of the child and the petitioner can be protected. The minor children were present during both the March 4 incident and the March 9 confrontation. They were forced to shelter in a back room while Respondent pounded on a door and shouted threats. Awarding temporary custody to Petitioner, with any visitation subject to conditions that protect the safety of the children and Petitioner, is appropriate under these circumstances. In Limeres v. Limeres, 320 P.3d 291 (Alaska 2014), the court recognized the paramount importance of the safety and well-being of minor children when assessing custody arrangements in contexts involving domestic violence allegations.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18.66.130(a) confirms that even if Respondent were to argue that Petitioner somehow invited or consented to subsequent contact, such an invitation does not waive or nullify any provision of the protective order. AS 18.66.130(c) further provides that the court may not order the parties into mediation for resolution of issues arising from a petition for a protective order under AS 18.66.100 through 18.66.180. Consistently, Civil Rule 100(a) provides that mediation may not be ordered between the parties to a case filed under AS 18.66.100 through 18.66.180. Accordingly, Petitioner cannot be required to participate in mediation as a condition of or alternative to the relief she seeks.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Petitioner's Address and Contact Information Should Be Protected From Disclosure.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Given that Respondent has already demonstrated a willingness to track Petitioner's location and appear at undisclosed addresses, Petitioner respectfully requests that her mailing address and contact information be maintained on a separate, confidential form pursuant to Civil Rule 951. That rule provides that a pro se petitioner in a domestic violence protective order proceeding may submit her mailing address and telephone number on a separate form and omit this information from other pleadings and papers filed with the court, with access to that form limited to the court, authorized court system personnel, and the petitioner. This protection is critical given Respondent's demonstrated tracking behavior.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The Protective Order Should Include the Warnings Required by AS 18.66.130(d).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Any protective order issued by this Court must include in boldface type the statutory warnings required by AS 18.66.130(d), including the notice that violation of the order may be a misdemeanor punishable by up to one year of incarceration and a fine of up to $25,000, and the notice that an invitation by the petitioner to have prohibited contact does not in any way invalidate or nullify the order. These notices serve to ensure that Respondent understands the legal consequences of any violation and are required as a matter of law.</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foregoing reasons, Petitioner Renee Larsen respectfully requests that this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Issue an emergency ex parte protective order pursuant to AS 18.66.110(a) and Civil Rule 65(b), effective for 20 days, prohibiting Respondent Michael Larsen from contacting, communicating with, or approaching Petitioner or the minor children, and requiring him to vacate the marital residence;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Schedule a hearing pursuant to AS 18.66.100(b) at which Petitioner will establish by a preponderance of the evidence that Respondent committed crimes involving domestic violence, and at which the Court may issue a long-term protective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Issue a long-term protective order pursuant to AS 18.66.100 granting all forms of relief requested herein, including a no-contact order, exclusion from the marital residence, a 500-foot exclusion zone around Petitioner's residence, workplace, and the children's school, and temporary custody of the minor children to Petitioner;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Maintain Petitioner's contact information on a confidential form pursuant to Civil Rule 65.1;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Include in any protective order issued the required boldface notices pursuant to AS 18.66.130(d).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facts presented establish probable cause, and ultimately a preponderance of the evidence, that Respondent committed crimes involving domestic violence. Immediate and long-term protective relief is necessary to ensure the safety of Petitioner and the minor children.</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2026-08-17T01:01:15.190Z</dcterms:created>
  <dcterms:modified xsi:type="dcterms:W3CDTF">2026-08-17T01:01:15.190Z</dcterms:modified>
</cp:coreProperties>
</file>

<file path=docProps/custom.xml><?xml version="1.0" encoding="utf-8"?>
<Properties xmlns="http://schemas.openxmlformats.org/officeDocument/2006/custom-properties" xmlns:vt="http://schemas.openxmlformats.org/officeDocument/2006/docPropsVTypes"/>
</file>