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REQUEST FOR A DOMESTIC VIOLENCE PROTECTIVE ORDER</w:t>
      </w:r>
    </w:p>
    <w:p>
      <w:pPr>
        <w:spacing w:after="0" w:before="0" w:line="240"/>
        <w:jc w:val="center"/>
      </w:pPr>
      <w:r>
        <w:rPr>
          <w:rFonts w:ascii="Times New Roman" w:cs="Times New Roman" w:eastAsia="Times New Roman" w:hAnsi="Times New Roman"/>
          <w:b w:val="false"/>
          <w:bCs w:val="false"/>
          <w:sz w:val="24"/>
          <w:szCs w:val="24"/>
        </w:rPr>
        <w:t xml:space="preserve">(doc-0142)</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Priya Bergstrom brings this action seeking a long-term domestic violence protective order against Respondent Wesley Bergstrom pursuant to AS 18.66.100. Over the course of ten days in October 2024, Wesley subjected Priya to severe physical violence, explicit threats of retaliation, and unlawful confinement. His conduct constitutes a continuing and escalating pattern of domestic violence that places Priya and the parties' two minor children in immediate and ongoing danger. Priya respectfully requests that this Court issue a long-term protective order requiring Wesley to vacate the shared marital residence, prohibiting all direct and indirect contact with Priya and the children, and awarding Priya temporary sole physical custody of the minor children pending further proceedings in this matter.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Bergstrom and Wesley Bergstrom are a married couple who reside together at a shared residence in Anchorage, Alaska. The parties have two minor children who also reside in the home. The following incidents of domestic violence occurred in rapid succession: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October 3, 2024, during an argument about finances, Wesley grabbed Priya by the throat and forcibly shoved her against the kitchen wall. The assault left visible bruising on Priya's neck. This physical attack constitutes a crime involving domestic violence as defined under Alaska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October 11, 2024, Wesley sent Priya a text message stating that if she attempted to leave him he would "make sure she regretted it." This written threat was direct, specific, and reasonably caused Priya to fear for her physical safety.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October 12, 2024, Wesley physically blocked the doorway of the parties' shared residence with his body, refusing to allow Priya to leave the home with the minor children. During this incident, Wesley threatened to harm Priya if she contacted law enforcement. This conduct constituted unlawful restraint and a direct threat intended to prevent Priya from seeking safety and legal protection.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three incidents occurring within a ten-day period demonstrate an escalating pattern of physical violence, intimidation, and coercive control. The presence of the minor children during at least one of these incidents further underscores the danger posed to the entire household.</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18.66.100(b), when a petition for a long-term protective order is filed, the court shall schedule a hearing and provide at least ten days' notice to the respondent. If the court finds by a preponderance of the evidence that the respondent has committed a crime involving domestic violence against the petitioner, the court may order any relief available under AS 18.66.100(c), regardless of whether the respondent appears at the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courts must carefully examine the full context of a respondent's conduct when evaluating petitions for protective orders, including the cumulative effect of multiple incidents of domestic violence. Thomas v. Thomas, 171 P.3d 98 (Alaska 2007). The statute does not require that each incident individually rise to an extreme level of violence; the court is entitled to consider the pattern as a whole. Whalen v. Whalen, 425 P.3d 150 (Alaska 2018).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children are present in a household in which domestic violence has occurred, the court must also consider the safety of those children when fashioning relief, including temporary custody arrangements. AS 18.66.100(c)(9); AS 25.24.150(c)(7).</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THE COURT SHOULD ISSUE A LONG-TERM PROTECTIVE ORDER BECAUSE THE EVIDENCE ESTABLISHES BY A PREPONDERANCE THAT WESLEY COMMITTED CRIMES INVOLVING DOMESTIC VIOLENCE AGAINST PRIYA.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18.66.100(b) authorizes the court to issue a long-term protective order upon a finding, by a preponderance of the evidence, that the respondent has committed a crime involving domestic violence against the petitioner. Wesley's conduct on October 3, October 11, and October 12, 2024 satisfies this standard multiple times over.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October 3 physical assault, in which Wesley grabbed Priya by the throat and shoved her against a wall with sufficient force to leave visible bruising, constitutes assault. The threat delivered by text message on October 11, expressly warning Priya that she would "regret" any attempt to leave, constitutes criminal threatening and harassment. The October 12 incident, in which Wesley physically blocked Priya's exit from the home, threatened her with harm if she sought police assistance, and prevented her from leaving with the children, constitutes unlawful imprisonment and additional criminal threatening. Collectively, these acts form a pattern of escalating domestic violence that endangers both Priya and the minor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affirmed that courts are authorized to credit a petitioner's documented account of multiple incidents of domestic violence when issuing long-term protective orders, particularly where the incidents reflect an escalating course of conduct. Thomas v. Thomas, 171 P.3d 98 (Alaska 2007). The pattern here, beginning with physical assault, progressing to written threats of retaliation, and culminating in physical confinement and threats designed to prevent Priya from contacting law enforcement, is precisely the kind of escalating course of conduct that the protective order statute was designed to address.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Furthermore, AS 18.66.100(e) expressly provides that a court may not deny a petition for a protective order solely because there is a lapse of time between an act of domestic violence and the filing of the petition. Here, there is no such lapse: Priya filed immediately after the most recent incident. This provision underscores the legislature's intent that courts focus on the substance of the evidence rather than procedural technicalities.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B. THE COURT SHOULD ORDER WESLEY TO VACATE THE SHARED RESIDENCE AND PROHIBIT ALL CONTACT WITH PRIYA AND THE MINOR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 provides the court with broad authority to fashion relief necessary to protect the petitioner and household members. Specifically, the statute authorizes the court to remove and exclude the respondent from the petitioner's residence regardless of ownership, to prohibit the respondent from telephoning, contacting, or otherwise communicating directly or indirectly with the petitioner, and to direct the respondent to stay away from the residence, school, or place of employment of the petitioner or any specified place frequented by the petitioner or any designated household member.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Each of these forms of relief is warranted here. Wesley remains in the shared marital home, which means that Priya and the children are subject to ongoing risk so long as he is present. His conduct on October 12, in which he physically blocked Priya from leaving and threatened her with harm for contemplating contact with law enforcement, demonstrates that his continued presence in the home constitutes a direct and ongoing threat. Exclusion from the residence is necessary to ensure Priya's safety and to allow her to remain in the home with the children without fear of further violence.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no-contact provisions of AS 18.66.100(c)(2) and (c)(4) are equally necessary. Wesley's October 11 text message demonstrates his willingness to use electronic communication as a vehicle for intimidation and threats. Prohibiting all direct and indirect contact, including by telephone, text, electronic message, or through third parties, is essential to prevent further harassment and to protect Priya from additional acts of coercion.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Importantly, AS 18.66.130(a) provides that even if Priya were to invite contact, such an invitation would not waive or nullify any provision of the protective order. This protection is critical given the dynamics of intimate partner violence, in which abusers frequently exploit the victim's emotional ties to the relationship in order to circumvent protective orders.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AS 25.24.140(b) independently authorizes the court, during the pendency of a domestic relations action, to issue protective orders requiring the respondent to vacate the marital residence, restraining a spouse from communicating directly or indirectly with the other spouse, and restraining a spouse from entering a vehicle in the possession of or occupied by the other spouse. These provisions reinforce the availability of the relief Priya seeks.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also be mindful that AS 18.66.130(b) provides that a court may not grant protective orders against both the petitioner and the respondent in the same action. Wesley should not be permitted to seek a cross-protective order in this proceeding. Cooper v. Cooper, 144 P.3d 451 (Alaska 2006) (discussing the disfavored nature of mutual restraining orders in domestic violence proceedings and affirming that protective order law is intended to protect the victim, not to neutralize both parties).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THE COURT SHOULD GRANT PRIYA TEMPORARY SOLE PHYSICAL CUSTODY OF THE MINOR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 18.66.100(c)(9) authorizes the court, in issuing a protective order, to award temporary custody of a minor child to the petitioner and to arrange for visitation with the minor child if the safety of the child and the petitioner can be protected. This provision directly supports Priya's request for temporary sole physical custody of the parties' two minor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When determining matters of custody and the best interests of a child, Alaska law requires the court to consider, among other factors, any evidence of domestic violence in the proposed custodial household or a history of violence between the parents. AS 25.24.150(c)(7). The incidents of October 3, 11, and 12 constitute exactly the kind of evidence that the legislature intended this provision to address.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Furthermore, under AS 25.24.150(g), there is a rebuttable presumption that a parent who has a history of perpetrating domestic violence against the other parent may not be awarded sole legal custody, sole physical custody, joint legal custody, or joint physical custody of a child. AS 25.24.150(h) provides that a parent has a history of perpetrating domestic violence if the court finds that, during one incident of domestic violence, the parent caused serious physical injury, or if the court finds that the parent has engaged in more than one incident of domestic violence. Wesley committed multiple acts of domestic violence within a ten-day period. The October 3 assault caused visible injury in the form of bruising on Priya's neck. The October 11 threat and the October 12 confinement constitute additional, separate incidents of domestic violence. Wesley therefore meets the statutory definition of a parent with a history of perpetrating domestic violence, triggering the rebuttable presumption against any custody award in his favor.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cases where the rebuttable presumption applies and has not been overcome, AS 25.24.150(j) provides that the court shall allow only supervised visitation by the perpetrating parent, conditioned on that parent's participation in and successful completion of a batterers' intervention program and a parenting education program, where reasonably available. Until Wesley has satisfied those conditions, unsupervised contact with the children is not appropriate.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courts must carefully weigh the risk that domestic violence poses to children when fashioning custody arrangements in cases involving a history of abuse. Misyura v. Misyura, 242 P.3d 1037 (Alaska 2010). The children's presence in the home during Wesley's pattern of threatening and violent conduct, and particularly his refusal on October 12 to allow Priya to leave the home with them while threatening her with harm for seeking police assistance, places the children directly in the zone of danger.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25.24.150(k), the fact that an abused parent suffers from the effects of the abuse does not constitute a basis for denying custody to that parent unless the court finds that the effects of the domestic violence are so severe that they render the parent unable to safely parent the child. No such finding is warranted here. Priya has acted to protect herself and the children by promptly seeking legal intervention.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also note that AS 25.24.060(f) and AS 25.24.140(d) both expressly prohibit the court from ordering or referring the parties to mediation in a divorce proceeding if a protective order issued under AS 18.66.100 is in effect. Similarly, Civil Rule 100(a) provides that mediation may not be ordered between parties to a case filed under AS 18.66.100 through 18.66.180. Accordingly, no mediation should be ordered or suggested in this matter while the protective order is in effect.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 THE COURT SHOULD TAKE ADDITIONAL PROTECTIVE MEASURES TO ENSURE PRIYA'S SAFETY AND THAT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addition to the core relief requested above, the court has authority under AS 18.66.100(c)(16) to order other relief that the court determines is necessary to protect the petitioner or any household member. This broad residual provision gives the court flexibility to address any gaps in the specific enumerated forms of relief and to tailor the order to the particular circumstances of this case.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Priya requests that the court consider the following additional protections consistent with the statutory framework:</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if the court determines that Wesley has used or possessed a deadly weapon in the commission of domestic violence, the court may prohibit him from using or possessing a deadly weapon and may direct him to surrender any firearm he owns or possesses pursuant to AS 18.66.100(c)(6) and (c)(7). While the incidents described herein did not involve a firearm or other weapon, Priya reserves the right to present additional evidence at the long-term protective order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the court may, pursuant to AS 18.66.100(c)(13), require Wesley to reimburse Priya for expenses associated with the domestic violence, including any medical expenses incurred in connection with the bruising caused by the October 3 assault.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Third, the court may, pursuant to AS 18.66.100(c)(15), order Wesley to participate, at his own expense, in a program for the rehabilitation of perpetrators of domestic violence that meets the standards set by and approved by the Department of Corrections. Participation in such a program is consistent with the legislative framework and with the conditions under which the rebuttable presumption against a violent parent's custody rights may eventually be overcome under AS 25.24.150(h).</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Fourth, Priya notes that, as a pro se petitioner, she is entitled under Civil Rule 65.1 to submit her mailing address and telephone number on a separate form and to omit that information from other pleadings filed with the court, with access limited to the court, authorized court system personnel, and Priya. Priya intends to avail herself of this protection given Wesley's history of threats and intimidation designed to prevent her from seeking legal assistance.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Finally, the court should be aware that the standing injunction provisions of Civil Rule 65(e) apply to the parties as a result of the pending domestic relations action and independently restrain Wesley from threatening, harassing, or harming Priya, and from removing the minor children from the State of Alaska without Priya's written consent. Those protections operate in addition to, and not in lieu of, the specific relief requested under the domestic violence protective order statute.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evidence establishes by a preponderance that Wesley Bergstrom committed multiple crimes involving domestic violence against Priya Bergstrom within a ten-day period in October 2024, including a physical assault that caused visible injury, a written threat of retaliation, and an act of physical confinement accompanied by threats designed to prevent Priya from seeking police assistance. This pattern of escalating violence poses a continuing and serious danger to Priya and to the parties' minor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Priya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Issue a long-term domestic violence protective order pursuant to AS 18.66.100;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Order Wesley Bergstrom to vacate the shared marital residence immediately and to stay away from the residence, the children's school, Priya's place of employment, and all other locations frequented by Priya and the children pursuant to AS 18.66.100(c)(3) and (c)(4);</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Prohibit Wesley from contacting or communicating with Priya or the minor children, directly or indirectly, pursuant to AS 18.66.100(c)(2);</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Award Priya temporary sole physical custody of the minor children pending further court proceedings pursuant to AS 18.66.100(c)(9) and AS 25.24.150;</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Limit any visitation by Wesley with the minor children to supervised visitation only, conditioned on his participation in a batterers' intervention program and a parenting education program, pursuant to AS 25.24.150(j);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Grant such other and further relief as the Court deems necessary to protect Priya and the minor children pursuant to AS 18.66.100(c)(16).</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2026-08-17T01:05:15.292Z</dcterms:created>
  <dcterms:modified xsi:type="dcterms:W3CDTF">2026-08-17T01:05:15.292Z</dcterms:modified>
</cp:coreProperties>
</file>

<file path=docProps/custom.xml><?xml version="1.0" encoding="utf-8"?>
<Properties xmlns="http://schemas.openxmlformats.org/officeDocument/2006/custom-properties" xmlns:vt="http://schemas.openxmlformats.org/officeDocument/2006/docPropsVTypes"/>
</file>