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REQUEST FOR A DOMESTIC VIOLENCE PROTECTIVE ORDER</w:t>
      </w:r>
    </w:p>
    <w:p>
      <w:pPr>
        <w:spacing w:after="0" w:before="0" w:line="240"/>
        <w:jc w:val="center"/>
      </w:pPr>
      <w:r>
        <w:rPr>
          <w:rFonts w:ascii="Times New Roman" w:cs="Times New Roman" w:eastAsia="Times New Roman" w:hAnsi="Times New Roman"/>
          <w:b w:val="false"/>
          <w:bCs w:val="false"/>
          <w:sz w:val="24"/>
          <w:szCs w:val="24"/>
        </w:rPr>
        <w:t xml:space="preserve">(doc-0144)</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Okafor respectfully submits this brief in support of her petition for a domestic violence protective order against respondent Maria Okafor. The undisputed facts establish a pattern of serious domestic violence, including physical assault, threatening conduct, and continued harassment, that places Ashley in reasonable fear for her safety. Under Alaska law, Ashley is entitled to a protective order prohibiting Maria from contacting her, requiring Maria to stay away from Ashley's residence and workplace, and granting Ashley exclusive use of the marital home during the pendency of any order issued. The court has both the statutory authority and a clear evidentiary basis to grant the requested relief.</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Okafor and Maria Okafor are married spouses who resided together at a shared residence in Anchorage, Alaska. On October 14, 2024, Maria shoved Ashley against a kitchen wall, grabbed Ashley by the throat, and threatened to "make her regret leaving." As a direct result of this assault and the accompanying threat, Ashley left the shared marital home that same day.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harassment did not end with Ashley's departure. On October 22, 2024, Maria appeared uninvited at Ashley's workplace and screamed obscenities at her in front of coworkers. That same evening, Maria sent Ashley a series of text messages stating, "You will not get away from me, I promise you that." These communications constitute a continuing pattern of threatening and harassing conduct directed at Ashley following the initial physical assault.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now petitions this court for a domestic violence protective order that would: (1) prohibit Maria from contacting Ashley in person, by telephone, or electronically; (2) require Maria to stay at least 500 feet from Ashley's residence and workplace; and (3) grant Ashley exclusive use of the shared marital home during the pendency of the order.</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18.66.100(b), when a petition for a protective order is filed, the court shall schedule a hearing and provide at least ten days' notice to the respondent. If the court finds by a preponderance of the evidence that the respondent has committed a crime involving domestic violence against the petitioner, the court may order any relief available under AS 18.66.100(c), regardless of whether the respondent appears at the hearing.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Where immediate danger exists, AS 18.66.110(a) permits the court to issue an ex parte protective order upon a finding of probable cause that a crime involving domestic violence has occurred and that it is necessary to protect the petitioner from domestic violence, provided the petitioner has certified in writing the efforts made to notify the respondent. An ex parte order issued under this provision expires 20 days after issuance unless dissolved earlier by the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65(b) separately authorizes a temporary restraining order without notice to the adverse party where it clearly appears from specific facts shown by affidavit or by verified complaint that immediate and irreparable injury will result to the applicant before the adverse party or that party's attorney can be heard in opposition.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recognized that courts possess broad discretion in determining whether to issue domestic violence protective orders and in fashioning appropriate relief. Wee v. Eggener, 225 P.3d 1120 (Alaska 2010). The standard for a long-term protective order under AS 18.66.100 requires proof by a preponderance of the evidence that the respondent committed a crime involving domestic violence. Whalen v. Whalen, 425 P.3d 150 (Alaska 2018).</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Ashley Is a Victim of Domestic Violence Within the Meaning of AS 18.66.100 and Is Entitled to Seek a Protective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18.66.100(a) provides that "a person who is or has been a victim of a crime involving domestic violence may file a petition in the district or superior court for a protective order against a household member." Maria Okafor qualifies as a household member because she and Ashley are married and resided together at the Anchorage residence until October 14, 2024. The conduct Maria directed at Ashley on that date, specifically shoving Ashley into a wall, grabbing her by the throat, and threatening her with future harm, constitutes a crime involving domestic violence under Alaska law. The subsequent workplace confrontation and threatening text messages further demonstrate a continuing course of conduct placing Ashley in reasonable fear. Ashley therefore has both standing and a substantive basis to petition for the requested relief.</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The Evidence Establishes by a Preponderance That Maria Committed Acts of Domestic Violence Against Ashley.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18.66.100(b), the court may issue a long-term protective order upon finding by a preponderance of the evidence that the respondent committed a crime involving domestic violence. The facts here satisfy that standard. Maria physically assaulted Ashley on October 14, 2024, by shoving her against a kitchen wall and grabbing her by the throat. These acts constitute criminal assault under Alaska law. Maria compounded this conduct with a direct threat to make Ashley "regret leaving," which further establishes the threatening nature of her actions.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made clear that a court's determination in domestic violence proceedings is heavily fact-dependent and that courts have broad discretion in assessing the evidence presented. Wee v. Eggener, 225 P.3d 1120 (Alaska 2010). The physical assault, the contemporaneous threat, the uninvited workplace confrontation eight days later, and the threatening text messages together present a pattern of domestic violence that comfortably satisfies the preponderance standard. The court may not deny this petition solely because of any lapse of time between an act of domestic violence and the filing of the petition. AS 18.66.100(e)(1).</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The Specific Relief Requested Is Expressly Authorized Under AS 18.66.100(c).</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No-Contact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requests that the court prohibit Maria from contacting her in person, by telephone, or electronically. AS 18.66.100(c)(2) expressly authorizes the court to "prohibit the respondent from telephoning, contacting, or otherwise communicating directly or indirectly with the petitioner." Maria's pattern of conduct, including the workplace confrontation and the threatening text messages sent on the evening of October 22, 2024, demonstrates that direct contact restrictions are necessary to protect Ashley's safety. The Alaska Supreme Court, in construing the scope of AS 18.66.100(c)(2), has noted the breadth of the term "communicating" and its application to varied forms of contact. Cooper v. Cooper, 144 P.3d 451 (Alaska 2006).</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Stay-Away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requests that Maria be ordered to remain at least 500 feet from Ashley's residence and workplace. AS 18.66.100(c)(4) authorizes the court to "direct the respondent to stay away from the residence, school, or place of employment of the petitioner or any specified place frequented by the petitioner or any designated household member." Maria's uninvited appearance at Ashley's workplace on October 22, 2024, where she screamed obscenities at Ashley in front of coworkers, establishes precisely the type of conduct this provision is designed to prevent. A 500-foot buffer zone is a reasonable and proportionate restriction given Maria's demonstrated willingness to confront Ashley at her place of employment.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Exclusive Use of the Marital Residence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requests that the court grant her exclusive use and possession of the shared marital home. AS 18.66.100(c)(3) authorizes the court to "remove and exclude the respondent from the residence of the petitioner, regardless of ownership of the residence." Ashley was effectively driven from the marital home by Maria's assault and threat on October 14, 2024. It is Ashley, not Maria, who has been displaced. Granting Ashley exclusive possession of the marital residence restores her to a place of safety and removes Maria's ability to use the residence as a base for continued intimidation or access to Ashley.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Additionally, AS 25.24.140(b) provides that, during the pendency of a domestic relations action, a spouse is entitled to necessary protective orders including orders "directing one spouse to vacate the marital residence or the home of the other spouse" and "for protection under AS 18.66.100 through 18.66.180." Because divorce proceedings are anticipated as a consequence of this domestic violence, AS 25.24.140(b) provides an independent basis for granting Ashley exclusive use of the marital residence during the pendency of this matter.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A Victim's Invitation Cannot Nullify or Waive Provisions of a Protective Order Once Issued.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should be aware that, under AS 18.66.130(a), if Maria is prohibited from communicating with Ashley, excluded from the residence, or ordered to stay away from Ashley as provided in AS 18.66.100(c)(2) through (5), any invitation by Ashley to communicate, enter the residence, or have other prohibited contact does not waive or nullify any provision of the protective order. This protection is designed to safeguard victims from being manipulated or coerced into contact that could then be used to undermine the legal protections afforded by the order. The court is further prohibited under AS 18.66.130(b) from granting protective orders against both the petitioner and the respondent in the same action. The court may not order or refer the parties to mediation for resolution of issues arising from this petition. AS 18.66.130(c); Civil Rule 100(a).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 The Court May Issue an Ex Parte Order Pending Full Hearing.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Given the immediacy of the threat posed by Maria's conduct, Ashley respectfully requests that the court issue an ex parte protective order pending a full hearing. Under AS 18.66.110(a), the court may issue an ex parte order if the petition establishes probable cause that a crime involving domestic violence has occurred and that the order is necessary to protect Ashley. The facts set forth herein, particularly the physical assault on October 14, 2024, and the threatening communications and workplace confrontation on October 22, 2024, establish probable cause. An ex parte order issued under AS 18.66.110(a) may grant the protection provided by AS 18.66.100(c)(1) through (5), including no-contact and stay-away provisions. Such an ex parte order would remain effective for 20 days unless dissolved earlier, at which point a full hearing would be scheduled in accordance with AS 18.66.100(b).</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 Ashley May Protect Her Address Information Through Civil Rule 65.1.</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a pro se petitioner, Ashley is entitled under Civil Rule 65.1 to submit her mailing address and telephone number on a separate form and to omit this information from other pleadings and papers filed with the court. Access to the form containing Ashley's address and telephone number is limited to the court, authorized court system personnel, and Ashley. This protection is particularly important given Maria's demonstrated willingness to locate and confront Ashley, as evidenced by the October 22, 2024, workplace incident.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G. The Duration of Relief Requested Is Consistent With Applicable Law.</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Ashley's petition requests a 90-day order. The court should note, however, that under AS 18.66.100(b)(2), provisions issued under AS 18.66.100(c)(2) through (16) are effective for one year unless earlier dissolved by court order. The court therefore has authority to grant relief for up to one year on the no-contact, stay-away, and residence provisions requested. Relief under AS 18.66.100(c)(1), prohibiting the respondent from threatening to commit or committing domestic violence, is effective until further order of the court. Whalen v. Whalen, 425 P.3d 150 (Alaska 2018). Ashley defers to the court's judgment regarding appropriate duration, but notes that a minimum 90-day period is supported by the severity and recurrence of Maria's conduct.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H. Venue Is Proper in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Venue for this petition is proper under Civil Rule 3(h), which provides that a petition for a protective order on domestic violence under AS 18.66 may be filed in the judicial district or court location closest to where the petitioner currently or temporarily resides, where the respondent resides, or where the domestic violence occurred. The acts of domestic violence alleged herein, as well as the residences of both parties, are located in Anchorage, Alaska, placing venue in this court.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Okafor has presented substantial and credible evidence that Maria Okafor committed acts of domestic violence against her, including physical assault, threats of future harm, and continued harassing conduct at Ashley's workplace and through electronic communications. The relief Ashley requests, specifically a no-contact order, a 500-foot stay-away order covering her residence and workplace, and exclusive use of the marital home, is expressly authorized by AS 18.66.100(c)(2), (c)(3), and (c)(4), and is further supported by AS 25.24.140(b). An ex parte order is warranted under AS 18.66.110(a) given the immediate and ongoing nature of the threat Maria poses.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respectfully requests that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Issue an immediate ex parte protective order under AS 18.66.110(a) prohibiting Maria from contacting Ashley in any manner and requiring Maria to stay at least 500 feet from Ashley's residence and workplace;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Grant Ashley exclusive use and possession of the shared marital residence pursuant to AS 18.66.100(c)(3);</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Schedule a full hearing on Ashley's petition for a long-term protective order in accordance with AS 18.66.100(b);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After hearing, issue a one-year protective order incorporating all of the above relief pursuant to AS 18.66.100(b)(2).</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2026-08-17T01:07:40.351Z</dcterms:created>
  <dcterms:modified xsi:type="dcterms:W3CDTF">2026-08-17T01:07:40.351Z</dcterms:modified>
</cp:coreProperties>
</file>

<file path=docProps/custom.xml><?xml version="1.0" encoding="utf-8"?>
<Properties xmlns="http://schemas.openxmlformats.org/officeDocument/2006/custom-properties" xmlns:vt="http://schemas.openxmlformats.org/officeDocument/2006/docPropsVTypes"/>
</file>