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Colby respectfully submits this brief in support of her petition for a domestic violence protective order against Respondent Maria Colby. Priya and Maria are married spouses who have shared a residence in Anchorage, Alaska for approximately four years. On October 3, 2024, Maria physically assaulted Priya by grabbing her by the throat, shoving her into a kitchen counter, and threatening to prevent her from leaving the home. Less than one week later, on October 9, 2024, Maria appeared uninvited at Priya's place of employment, screamed threats in the parking lot, and warned Priya that she would "regret it" if she contacted police. These acts constitute crimes involving domestic violence within the meaning of Alaska law, and Priya is entitled to immediate protective relief. She seeks a protective order requiring Maria to vacate the shared Anchorage residence, prohibiting Maria from contacting Priya at home or at her workplace, and granting Priya temporary use of the marital vehicle necessary for her continued employment.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Colby and Maria Colby are married and have resided together at a shared residence in Anchorage, Alaska for approximately four years. As spouses who reside together, Maria is a household member of Priya within the meaning of AS 18.66.990(5)(A) and (5)(B).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over finances, Maria grabbed Priya by the throat and shoved her into the kitchen counter. Maria then threatened to "make sure she never left the house again." This conduct constitutes a crime against the person under AS 11.41, which is expressly enumerated as a crime involving domestic violence under AS 18.66.990(3)(A). The threatening statement also constitutes threatening conduct directed at a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9, 2024, Maria escalated her course of threatening behavior by appearing uninvited at Priya's place of employment. Maria screamed threats at Priya in the workplace parking lot and warned Priya that she would "regret it" if she contacted police. This conduct constitutes additional threatening and harassing acts directed at Priya, and Maria's specific warning against involving law enforcement further demonstrates her intent to prevent Priya from seeking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result of Maria's conduct, Priya fears for her physical safety at the shared residence and at her workplace. Priya requires the use of the marital vehicle to travel to and from work. Priya now seeks the protection of this Court through a domestic violence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18.66.100(a), a person who is or has been a victim of a crime involving domestic violence may file a petition in the district or superior court for a protective order against a household member. The court must schedule a hearing and provide at least 10 days' notice to the respondent. Under AS 18.66.100(b), if the court finds by a preponderance of the evidence that the respondent has committed a crime involving domestic violence against the petitioner, the court may order any relief available under AS 18.66.964,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18.66.990(3)(A) defines "domestic violence" and "crime involving domestic violence" to include crimes against the person under AS 11.41 committed by a household member against another household member. AS 18.66.990(5)(A) and (5)(B) define "household member" to include current spouses and persons who live together or who have lived together.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protective order provisions of AS 18.66.100, AS 25.24.140(b) independently authorizes the court, during the pendency of a divorce or related domestic relations action, to issue necessary protective orders including orders directing one spouse to vacate the marital residence and restraining a spouse from communicating directly or indirectly with the other spouse.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protective order should be issued when the petitioner demonstrates by a preponderance of the evidence that the respondent committed a qualifying act of domestic violence. Whalen v. Whalen, 425 P.3d 150 (Alaska 2018). The court in Whalen confirmed that criminal trespass against a former spouse qualifies as a crime involving domestic violence and that AS 18.66.100 provides the statutory mechanism for obtaining relief in such circumstances. Courts have broad discretion in fashioning protective relief appropriate to the circumstances presented. Sarah D. v. John D., 352 P.3d 419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933, a pro se petitioner in a proceeding to obtain a domestic violence protective order under AS 18.66.100 or AS 18.66.110 may submit her mailing address and telephone number on a separate form and omit that information from other pleadings filed with the court. Petitioner invokes this rule to protect her safety during the pendency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3(h), a petition for a protective order on domestic violence under AS 18.66 may be filed in the judicial district or the court location closest to where the petitioner currently or temporarily resides, where the respondent resides, or where the domestic violence occurred. Because all three locations are in Anchorage, venue is proper before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Maria Colby Is a Household Member Who Has Committed Multiple Crimes Involving Domestic Violence Against Priya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Colby is a household member of Priya Colby under AS 18.66.990(5)(A) because they are current spouses, and under AS 18.66.990(5)(B) because they reside together. Priya therefore has standing to petition for a protective order under AS 18.66.100(a).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October 3, 2024 incident, during which Maria grabbed Priya by the throat and shoved her into a kitchen counter, constitutes a crime against the person under AS 11.41 committed by a household member. Physical assault by grabbing a person by the throat is an act of physical force directed at the body of another, squarely within the category of crimes against the person enumerated in AS 18.66.990(3)(A). Maria's accompanying threat, that she would "make sure she never left the house again," constitutes threatening conduct that independently supports a finding of domestic violence. As the Alaska Supreme Court recognized in Whalen v. Whalen, 425 P.3d 150 (Alaska 2018), the preponderance standard governing protective order proceedings is satisfied when competent evidence establishes that a qualifying crime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October 9, 2024 incident at Priya's workplace constitutes a second and independent act of domestic violence. Maria arrived uninvited at the location, screamed threats at Priya in a public parking lot, and specifically warned Priya against contacting police. This threatening conduct constitutes an additional crime involving domestic violence under AS 18.66.990(3)(A). Maria's attempt to discourage Priya from seeking law enforcement assistance further demonstrates her intent to maintain power and control over Priya through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these two incidents within six days establish a pattern of threatening and physically violent conduct that satisfies the preponderance standard. The Alaska Supreme Court has recognized that courts consider the overall course of a respondent's behavior when evaluating petitions for domestic violence protective orders. Sarah D. v. John D., 352 P.3d 419 (Alaska 2015). Furthermore, AS 18.66.100(e) expressly provides that a court may not deny a petition for a protective order solely because there is a lapse of time between an act of domestic violence and the filing of the petition, reinforcing the legislature's intent that courts assess the full circumstances presented to them.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Order Maria to Vacate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Maria's physical assault of Priya occurred within the shared Anchorage home, and Maria's continuing threat that Priya would never "leave the house" demonstrates that the home itself is a site of danger for Priya. Allowing Maria to remain in the shared residence would force Priya to choose between her safety and her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25.24.140(b)(3) independently provides that during the pendency of a domestic relations action, upon application, a spouse is entitled to a protective order directing one spouse to vacate the marital residence or the home of the other spouse. This provision reinforces Priya's entitlement to exclusive occupancy of the shared residence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courts have broad discretion to fashion interim relief designed to protect a petitioner's safety and well-being. Thomas E. Jordan v. Cheryl A. Jordan, 480 P.3d 626 (Alaska 2021). Ordering Maria to vacate the residence is the appropriate measure here, as it addresses both the immediate danger Maria poses to Priya within the home and the longer-term need to provide Priya with a safe and stable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Prohibit Maria From Contacting Priya at Her Home or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the court to prohibit the respondent from threatening to commit or committing domestic violence, stalking, or harassment. AS 18.66.100(c)(2) authorizes the court to prohibit the respondent from telephoning, contacting, or otherwise communicating directly or indirectly with the petitioner. AS 18.66.100(c)(4) authorizes the court to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appearance at Priya's workplace on October 9, 2024, screaming threats and warning Priya against contacting police, demonstrates that Maria's threatening conduct is not confined to the shared home. Without a no-contact order that encompasses both the home and the workplace, Priya has no meaningful protection from further harassment, intimidation, or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provides that if a respondent is prohibited from communicating with the petitioner or ordered to stay away from the petitioner, any invitation by the petitioner to have otherwise prohibited contact does not waive or nullify any provision of the protective order. This provision ensures that a no-contact order will remain effective and enforceable regardless of any future interactions the parties might have.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25.24.140(b)(4) provides that during the pendency of a domestic relations action, upon application, a spouse is entitled to a protective order restraining a spouse from communicating directly or indirectly with the other spouse. This ground independently supports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protective orders must be comprehensive enough to address the specific patterns of threatening conduct at issue. Whalen v. Whalen, 425 P.3d 150 (Alaska 2018). Because Maria has already demonstrated her willingness to follow Priya to her workplace and threaten her there, a no-contact and stay-away order covering both locations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Grant Priya Temporary Use of the Marital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18.66.100(c)(10) authorizes the court to give the petitioner possession and use of a vehicle and other essential personal items, regardless of ownership of those items. Priya requires the use of the marital vehicle for her employment. Without access to this vehicle, Priya's ability to remain employed and financially independent would be jeopardized, further compounding the harm caused by Maria's violent and threatening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 reinforces the court's authority to issue protective orders necessary to safeguard a spouse's safety, autonomy, and basic needs during the pendency of a domestic relations action. Providing Priya with temporary use of the marital vehicle falls squarely within this authority, as it enables Priya to maintain her employment and thereby her independence from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fashioning domestic violence protective relief should consider the practical needs of the petitioner, including access to resources necessary for self-sufficiency. Thomas E. Jordan v. Cheryl A. Jordan, 480 P.3d 626 (Alaska 2021). Granting Priya temporary use of the marital vehicle is a measured and proportionate remedy that addresses a concrete and immediate need.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Protective Order May Not Be Issued Against Priya as a Mutual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18.66.130(b), a court may not grant protective orders against the petitioner and the respondent in the same action under the domestic violence chapter. The Alaska Supreme Court in Cooper v. Cooper, 144 P.3d 451 (Alaska 2006) held that mutual restraining orders are disfavored in domestic violence cases when only one partner has committed acts of domestic violence, and that this principle extends to divorce litigation. See also Wee v. Eggener, 225 P.3d 1120 (Alaska 2010) (affirming that a domestic violence protective order may not be entered against the petitioner and confirming the independent-basis requirement for any restraining order against the non-offending party). The evidence here establishes that Maria is the perpetrator of domestic violence against Priya. The Court may not issue a mutual protective order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Petitioner's Filing of This Petition Is Proper, and Her Location Information Is Protected.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noted in Section III, Civil Rule 3(h) permits Priya to file her petition in the court location closest to her current residence, the respondent's residence, or the location where the domestic violence occurred. All three locations are in Anchorage, making this Court the proper venue.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Civil Rule 65.1, because Priya is appearing pro se, she may submit her mailing address and telephone number on a separate form and omit this information from other pleadings and papers filed with the court. Access to that form is limited to the court, authorized court system personnel, and the petitioner. Given Maria's history of appearing uninvited at Priya's locations and threatening her against contacting police, protection of Priya's location information is critical to her safety.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above, Priya Colby respectfully requests that this Court enter a domestic violence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by a preponderance of the evidence that Maria Colby has committed crimes involving domestic violence against Priya Colby, as defined under AS 18.66.990(3) and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Ordering Maria Colby to vacate and remain excluded from the shared Anchorage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Prohibiting Maria Colby from threatening, contacting, or communicating with Priya Colby directly or indirectly, pursuant to AS 18.66.100(c)(1) and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Directing Maria Colby to stay away from Priya Colby's residence and place of employment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Priya Colby temporary possession and use of the marital vehicle necessary for her employment pursuant to AS 18.66.100(c)(10);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Granting such other and further relief as the Court deems necessary to protect Priya Colby's safety and well-being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2026-08-17T01:10:11.163Z</dcterms:created>
  <dcterms:modified xsi:type="dcterms:W3CDTF">2026-08-17T01:10:11.163Z</dcterms:modified>
</cp:coreProperties>
</file>

<file path=docProps/custom.xml><?xml version="1.0" encoding="utf-8"?>
<Properties xmlns="http://schemas.openxmlformats.org/officeDocument/2006/custom-properties" xmlns:vt="http://schemas.openxmlformats.org/officeDocument/2006/docPropsVTypes"/>
</file>