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(doc-0148)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Okafor ("Petitioner") respectfully submits this brief in support of his petition for a domestic violence protective order against his spouse, Wesley Okafor ("Respondent"). The Petitioner and Respondent are married and have resided together in Anchorage, Alaska for six years. On October 3, 2024, Respondent physically assaulted Petitioner by grabbing him by the throat, shoving him into a kitchen cabinet, and threatening future harm. On October 5, 2024, Respondent appeared uninvited at Petitioner's place of employment, screamed obscenities at him in front of his coworkers, and subsequently sent threatening text messages stating that Petitioner would not be safe anywhere. These acts of domestic violence, both physical and threatening in nature, entitle Petitioner to immediate and comprehensive relief under Alaska law. Petitioner seeks a protective order requiring Respondent to vacate the marital residence, remain at least 500 feet from Petitioner's home, workplace, and vehicle, and surrender any firearms in his possession. The record establishes by a preponderance of the evidence that Respondent has committed crimes involving domestic violence against Petitioner, and that a protective order is necessary to protect Petitioner's safety and well-being.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Marcus Okafor and Respondent Wesley Okafor are spouses who have lived together in Anchorage, Alaska for approximately six years. The following events precipitated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3, 2024, the parties became involved in an argument regarding their household finances. During this argument, Respondent grabbed Petitioner by the throat, shoved him forcefully into a kitchen cabinet, and threatened that he would "make sure he would regret leaving." This physical assault caused Petitioner immediate fear for his safety and constitutes a crime involving domestic violence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Two days later, on October 5, 2024, Respondent appeared uninvited at Petitioner's workplace in Anchorage. Without provocation, Respondent screamed obscenities at Petitioner in front of his coworkers, creating a scene that endangered Petitioner's sense of safety and security in his professional environment. That same evening, Respondent sent Petitioner a series of text messages containing the statement, "You won't be safe anywhere you go." This message constitutes an explicit threat of future harm and, taken together with the workplace confrontation and the October 3 physical assault, reflects a pattern of escalating threatening behavior.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has reason to believe that Respondent possesses firearms. The escalating nature of Respondent's conduct, including physical strangulation, property-related assault, workplace confrontation, and explicit threats of future harm, creates a substantial and credible risk of serious physical injury to Petitioner. Petitioner has vacated the marital residence out of fear for his personal safety and now seeks the court's protection.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protective order may be issued under AS 18.66.100 when a petitioner who is or has been a victim of a crime involving domestic violence files a petition against a household member. The statute provides that if the court finds by a preponderance of the evidence that the respondent has committed a crime involving domestic violence against the petitioner, the court may order any relief available under AS 18.66.100(c),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18.66.110, a court may also issue an ex parte protective order prior to a full hearing upon a finding of probable cause that a crime involving domestic violence has occurred and that a protective order is necessary to protect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Venue for a petition filed under AS 18.66 is proper in either the judicial district or the court location closest to where the petitioner currently or temporarily resides, where the respondent resides, or where the domestic violence occurred. Civil Rule 3(h). Here, venue in Anchorage is proper because both parties reside in Anchorage and the acts of domestic violence occurred there.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pro se petitioner seeking a domestic violence protective order may submit his mailing address and telephone number on a separate form and omit this information from other court filings. Civil Rule 65.1. This protection is available to Petitioner in this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consistently upheld the authority of trial courts to issue broad protective relief upon a preponderance finding of domestic violence. In Whalen v. Whalen, 425 P.3d 150 (Alaska 2018), the Alaska Supreme Court confirmed that domestic violence protective order statutes are to be construed to protect victims and that a court may issue broad relief when the statutory threshold is met. In Stephan P. v. Cecilia A., 464 P.3d 266 (Alaska 2020), the court upheld a protective order based on findings of assault and criminal trespass constituting domestic violence, confirming that physical contact combined with threatening behavior is sufficient to support full protective relief. In Andrea C. v. Marcus K., 355 P.3d 521 (Alaska 2015), the Alaska Supreme Court recognized that protective order findings can have significant downstream consequences, including in custody proceedings, underscoring that courts must take such proceedings seriously and apply the law fully.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RESPONDENT HAS COMMITTED CRIMES INVOLVING DOMESTIC VIOLENCE AGAINST PETITIONER, SATISFYING THE THRESHOLD REQUIREMENT FOR A PROTECTIVE ORDER UNDER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18.66.100(b) provides that if the court finds by a preponderance of evidence that the respondent has committed a crime involving domestic violence against the petitioner, the court may order any relief available under AS 18.66.100(c). The preponderance standard requires only that it be more likely than not that the domestic violence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Respondent's conduct on October 3, 2024, satisfies this standard independently. Grabbing a person by the throat and shoving that person into a hard surface constitutes assault under Alaska law, and such conduct against a household member qualifies as a crime involving domestic violence. The additional statement that Respondent would "make sure he would regret leaving" constitutes a direct threat of future violence, which itself may independently support protective relief under AS 18.66.100(c)(1).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Respondent's conduct on October 5, 2024, further corroborates the pattern of threatening and harassing behavior. Appearing uninvited at Petitioner's workplace and screaming obscenities at him in front of coworkers constitutes harassment. The subsequent text messages threatening that Petitioner "won't be safe anywhere you go" constitute threatening behavior directed at a household member, providing a second and independent basis for the issuance of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Taken together, the physical assault, workplace confrontation, and explicit written threats present a clear and credible pattern of domestic violence. These facts, accepted as true and viewed in their totality, more than satisfy the preponderance-of-the-evidence standard under AS 18.66.100(b).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ORDER RESPONDENT TO VACATE THE MARITAL RESIDENCE AND MAINTAIN A DISTANCE OF AT LEAST 500 FEET FROM PETITIONER'S HOME, WORKPLACE, AND VEHICLE.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 enumerates the forms of relief a court may grant in a domestic violence protective order. Specifically, AS 18.66.100(c)(3) authorizes the court to "remove and exclude the respondent from the residence of the petitioner, regardless of ownership of the residence." AS 18.66.100(c)(4) authorizes the court to "direct the respondent to stay away from the residence, school, or place of employment of the petitioner or any specified place frequented by the petitioner or any designated household member." AS 18.66.100(c)(5) authorizes the court to "prohibit the respondent from entering a propelled vehicle in the possession of or occupied by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Respondent's demonstrated willingness to appear at Petitioner's workplace on October 5, 2024, just two days after the physical assault in the marital home, demonstrates that Respondent does not recognize boundaries and poses an ongoing threat to Petitioner wherever Petitioner may be found. The explicit text message threat sent that evening confirms that Respondent intends to continue his threatening conduct across multiple locations. Accordingly, relief under AS 18.66.100(c)(3), (c)(4), and (c)(5) is fully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25.24.140(b) independently authorizes a court, during the pendency of a marital action, to issue necessary protective orders including orders directing one spouse to vacate the marital residence, restraining a spouse from communicating directly or indirectly with the other spouse, and restraining a spouse from entering a vehicle in the possession of or occupied by the other spouse. This provision provides an additional, concurrent basis for the residential and proximity relief requested by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Stephan P. v. Cecilia A., 464 P.3d 266 (Alaska 2020), the Alaska Supreme Court upheld a protective order that limited the respondent's physical access to the petitioner and imposed restrictions on contact and communication, based on findings of assault and criminal trespass. The conduct in this case is at least as serious as that in Stephan P., and the same relief is warranted here.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ORDER RESPONDENT TO SURRENDER ANY FIREARMS IN HIS POSSESSION.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18.66.100(c)(7) authorizes the court to "direct the respondent to surrender any firearm owned or possessed by the respondent if the court finds that the respondent was in the actual possession of or used a firearm during the commission of the domestic violence." Even where a firearm was not directly used during the specific acts of domestic violence at issue, AS 18.66.100(c)(6) also allows the court to prohibit the respondent from using or possessing a deadly weapon if the court finds the respondent was in actual possession of or used a weapon during the commission of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More broadly, AS 18.66.100(c)(16) authorizes the court to "order other relief the court determines necessary to protect the petitioner or any household member." The explicit threat that Petitioner "won't be safe anywhere you go," combined with the physical violence already inflicted, gives the court a sufficient basis to conclude that Respondent's possession of any firearm poses a specific and elevated danger to Petitioner's safety. Firearms surrender is among the most important safeguards available when a respondent has demonstrated a capacity for physical violence and has issued explicit threats of future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Whalen v. Whalen, 425 P.3d 150 (Alaska 2018), acknowledged the broad remedial scope of AS 18.66.100(c) and the legislature's intent to give courts the tools necessary to protect domestic violence victims comprehensively. Petitioner respectfully urges the court to exercise that authority here and order immediate firearms surrender.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RESPONDENT'S INVITATION BY PETITIONER, IF ANY, CANNOT NULLIFY THE PROTECTIVE ORDER'S PROVISIONS.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18.66.130(a) makes clear that if a respondent in a protective order issued under AS 18.66.100 is prohibited from communicating with the petitioner, excluded from the residence of the petitioner, or ordered to stay away from the petitioner, any invitation by the petitioner to communicate, enter the residence or vehicle, or have other prohibited contact with the petitioner does not waive or nullify any provision in the protective order. This provision is critical in domestic violence cases because perpetrators often pressure victims to re-initiate contact, and any such contact should not be construed as a waiver of the protections the court has ordered. The court should include the mandatory notice language required by AS 18.66.130(d) in any protective order it issues.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18.66.130(e) confirms that a protective order issued under this chapter is in addition to and not in place of any other civil or criminal remedy, and that a petitioner is not barred from seeking a protective order because of the existence of another civil action between the parties. The parties' marital relationship and any pending or future divorce proceedings do not preclude or diminish the protective relief sought here.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COURT MAY NOT ORDER MEDIATION IN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Petitioner is seeking a protective order under AS 18.66.100, and because the facts establish that domestic violence has occurred between the parties, the court is expressly prohibited from ordering or referring the parties to mediation. AS 18.66.130(c) provides that "a court may not order parties into mediation or refer them to mediation for resolution of the issues arising from a petition for a protective order under AS 18.66.100, 18.66.180." Civil Rule 100(a) similarly provides that "mediation may not be ordered between the parties to, or in, a case filed under AS 18.66.100, 18.66.180." Additionally, AS 25.24.140(d) provides that the court may not order or refer parties to mediation or family counseling if a protective order issued or filed under AS 18.66.100 is in effect, and AS 25.24.060(f) contains a parallel prohibition in divorce proceedings. These provisions collectively ensure that Petitioner cannot be compelled into a mediation process with a person who has physically assaulted him and threatened his safety.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THE STANDING PRELIMINARY INJUNCTION PROVIDES ADDITIONAL PROTECTION FOR PETITIONER DURING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65(e) provides that in domestic relations actions, a standing injunction may restrain the parties from threatening, harassing, or harming the other party, as well as from disposing of, encumbering, or transferring marital property without the written consent of the other party. To the extent such a standing injunction has been issued in this judicial district, it independently restrains Respondent from threatening, harassing, or harming Petitioner during the pendency of these proceedings. Petitioner respectfully brings this provision to the court's attention as an additional, immediate source of protection.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RESPONDENT'S PRIOR STATEMENTS TO PETITIONER DURING THE MARRIAGE ARE NOT SHIELDED BY THE MARITAL COMMUNICATIONS PRIVILEGE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 may seek to invoke the confidential marital communications privilege to prevent Petitioner from testifying about communications that occurred during the marriage. However, Alaska R. Evid. 505(b)(2)(A) provides that there is no privilege under the confidential marital communications rule if any of the exceptions under subdivision (a)(2) of that rule apply. Alaska R. Evid. 505(a)(2)(D)(v) provides that there is no spousal immunity privilege in a proceeding involving a crime involving domestic violence as defined in AS 18.66.990. Because this is precisely such a proceeding, neither the spousal immunity privilege under Alaska R. Evid. 505(a) nor the confidential marital communications privilege under Alaska R. Evid. 505(b) bars Petitioner's testimony about Respondent's threatening statements and conduct. Petitioner may testify fully and completely about all relevant communications and acts, including the October 3, 2024 threat and the October 5, 2024 text messages.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evidence presented in this brief establishes by a preponderance of the evidence that Respondent Wesley Okafor has committed crimes involving domestic violence against Petitioner Marcus Okafor. Respondent physically assaulted Petitioner by grabbing him by the throat and shoving him into a kitchen cabinet. Respondent threatened Petitioner with future harm on multiple occasions, both in person and by text message. Respondent appeared uninvited at Petitioner's workplace just two days after the physical assault, demonstrating both the ongoing nature of the threat and Respondent's willingness to pursue Petitioner in multiple settings. These acts, individually and collectively, satisfy the statutory requirements for issuance of a protective order under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respectfully requests that this Court issue a protective order providing the following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Prohibiting Respondent from threatening to commit or committing further acts of domestic violence, stalking, or harassment against Petitioner, pursuant to AS 18.66.100(c)(1);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Prohibiting Respondent from telephoning, contacting, or otherwise communicating directly or indirectly with Petitioner, pursuant to AS 18.66.100(c)(2);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Removing and excluding Respondent from the marital residence in Anchorage, Alaska, regardless of ownership, pursuant to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Directing Respondent to stay at least 500 feet away from Petitioner's residence, workplace, and any other place frequented by Petitioner, pursuant to AS 18.66.100(c)(4);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Prohibiting Respondent from entering any propelled vehicle in the possession of or occupied by Petitioner, pursuant to AS 18.66.100(c)(5);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Directing Respondent to surrender any and all firearms in his possession to the appropriate law enforcement agency, and ordering such other weapons-related relief as the court deems necessary to protect Petitioner, pursuant to AS 18.66.100(c)(7) and AS 18.66.100(c)(16).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further requests that the court include all mandatory notice language required by AS 18.66.130(d) in the protective order, and that the court enter such other relief as it deems necessary and just to protect Petitioner from further harm.</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2026-08-17T01:16:16.781Z</dcterms:created>
  <dcterms:modified xsi:type="dcterms:W3CDTF">2026-08-17T01:16:16.782Z</dcterms:modified>
</cp:coreProperties>
</file>

<file path=docProps/custom.xml><?xml version="1.0" encoding="utf-8"?>
<Properties xmlns="http://schemas.openxmlformats.org/officeDocument/2006/custom-properties" xmlns:vt="http://schemas.openxmlformats.org/officeDocument/2006/docPropsVTypes"/>
</file>