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(doc-0150)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Sutter brings this action pursuant to AS 18.66.100 and AS 18.66.110, seeking a protective order against his spouse, Respondent Danielle Sutter, following acts of domestic violence committed on March 4, 2025, and threatening communications made on March 7, 2025. Tomas has been physically assaulted in the marital home, has received explicit threats against his physical safety, and has been forced to relocate temporarily to avoid further harm. He now seeks an order from this Court prohibiting Danielle from contacting him in any form, requiring that she remain at least 500 feet from his person and his temporary residence, and directing her to vacate the marital home so that Tomas may safely retrieve his essential belongings. The relief sought is expressly authorized under Alaska law and is necessary to protect Tomas from further domestic violence.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Sutter and Danielle Sutter are a married couple who have resided together at a shared residence in Anchorage, Alaska for approximately six years. The parties remain legally married. On March 4, 2025, inside the marital residence, Danielle grabbed Tomas by the collar, shoved him forcefully into a kitchen cabinet, and struck him across the face with an open hand. This assault left visible bruising on Tomas's cheek, constituting physical injury caused by a household member and therefore a crime involving domestic violence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Three days later, on March 7, 2025, Danielle sent Tomas a series of text messages in which she stated that she would "make sure he regretted leaving" and that he "would not walk away from this marriage in one piece." These messages constitute explicit threats of bodily harm and harassment communicated directly to Tomas following a recent physical assault.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result of these events, Tomas relocated from the marital residence to a friend's home to protect himself from further harm. He retains a reasonable and well-founded fear that Danielle is capable of carrying out her stated threats, based on both the March 4 physical assault and what he describes as her history of escalating anger. Tomas seeks to return to the marital residence to retrieve essential personal belongings, but fears for his safety in doing so without court-ordered protection. Tomas filed this petition for a protective order at the court location serving the judicial district where both the marital residence and his current temporary residence are located, consistent with Civil Rule 3(h).</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if it finds by a preponderance of the evidence that the respondent has committed a crime involving domestic violence against the petitioner, the court may order any relief available under AS 18.66.100(c). The court may issue this relief regardless of whether the respondent appears at the scheduled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immediate danger exists, AS 18.66.110(a) authorizes the court to issue an ex parte protective order without notice to the respondent, provided that the petition establishes probable cause that a crime involving domestic violence has occurred, that the order is necessary to protect the petitioner, and that the petitioner has certified in writing the efforts, if any, made to provide notice to the respondent.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further provides that a temporary restraining order may be granted without notice to the adverse party where it clearly appears from specific facts shown by affidavit or verified complaint that immediate and irreparable injury, loss, or damage will result to the applicant before the adverse party can be heard in opposition.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Civil Rule 65(e) establishes a standing injunction applicable in domestic relations actions restraining parties from, among other things, threatening, harassing, or harming the other party, and from disposing of marital property without consent or court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25.24.140(b), during the pendency of a domestic relations action, a spouse is entitled to necessary protective orders including orders for protection under AS 18.66.100 through AS 18.66.180, orders directing one spouse to vacate the marital residence, and orders restraining a spouse from communicating directly or indirectly with the other spouse.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Record Establishes Probable Cause and, at a Full Hearing, a Preponderance of Evidence That Danielle Sutter Committed a Crime Involving Domestic Violence Against Tomas Sutter.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physical assault on March 4, 2025, in which Danielle grabbed Tomas by the collar, shoved him into a kitchen cabinet, and struck him across the face hard enough to leave visible bruising, constitutes a crime involving domestic violence. Danielle is a household member, as the parties are married and have shared the same residence for six years. The use of physical force resulting in visible injury satisfies the statutory predicate for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recognized that findings of domestic violence must be grounded in the totality of the record and that courts are not to minimize credible evidence of physical harm inflicted by one spouse upon the other. In Sarah D. v. John D., 352 P.3d 419 (Alaska 2015), the Alaska Supreme Court affirmed that acts of physical aggression in a shared household constitute domestic violence regardless of property ownership or other contextual factors, and that courts must carefully evaluate such evidence and make appropriate findings. In Williams v. Barbee, 243 P.3d 995 (Alaska 2010), the Alaska Supreme Court reiterated that once domestic violence is credibly raised, the court must directly address the issue and make findings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text messages sent on March 7, 2025 stating that Danielle would "make sure he regretted leaving" and that he "would not walk away from this marriage in one piece" constitute threats of further violence and harassment against Tomas. Taken together with the prior physical assault, this course of conduct demonstrates an ongoing and escalating threat to Tomas's physical safety. AS 18.66.100(c)(1) expressly authorizes the court to prohibit a respondent from threatening to commit or committing domestic violence, stalking, or harassment. AS 18.66.100(e) further provides that a court may not deny a petition for a protective order solely because of a lapse of time between an act of domestic violence and the filing of the petition, confirming that the court must consider the full context of events including continuing threats.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Issue an Ex Parte Protective Order Because Tomas Faces Immediate Risk of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18.66.110(a) authorizes the court to issue an ex parte protective order where the petition establishes probable cause that a crime involving domestic violence has occurred and that the order is necessary to protect the petitioner. The physical assault of March 4, 2025, is documented by visible bruising, and the threatening text messages of March 7, 2025, are preserved communications that directly threaten bodily harm. These facts, taken together, establish the requisite probable cause. Tomas has been forced to leave his own home and currently lives with a friend precisely because he fears Danielle's capacity for violence. These circumstances satisfy the requirements of AS 18.66.110(a) for immediate ex parte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independently supports issuance of a temporary restraining order without prior notice, as the verified facts presented show that immediate and irreparable injury will result to Tomas if Danielle is permitted to continue contacting him or maintaining exclusive possession of the marital residence before a full hearing can be held. A physical assault followed within three days by explicit death-adjacent threats presents precisely the circumstance that warrants emergency judicial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Thomas v. Thomas, 171 P.3d 98 (Alaska 2007), the Alaska Supreme Court recognized the intersection of criminal domestic violence proceedings and civil divorce and protective order proceedings, underscoring that courts must be attentive to the ongoing risks faced by victims of domestic violence and take all necessary steps to protect them throughout the pendency of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Issue the Full Range of Protective Relief Requested by Tomas, Including a No-Contact Order, a Stay-Away Requirement, and an Order Directing Danielle to Vacate the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 enumerates the specific relief a protective order may provide. Tomas requests three categories of relief, each of which is expressly authorized.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AS 18.66.100(c)(1) authorizes the court to prohibit the respondent from threatening to commit or committing domestic violence, stalking, or harassment. The threatening text messages of March 7, 2025, confirm that Danielle has already engaged in this conduct after the physical assault, and a prohibition on all future contact is necessary and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AS 18.66.100(c)(2) authorizes the court to prohibit the respondent from telephoning, contacting, or otherwise communicating directly or indirectly with the petitioner. Given that Danielle used text messaging to communicate threats just three days after the assault, a complete no-contact order encompassing all forms of communication is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AS 18.66.100(c)(4) authorizes the court to direct the respondent to stay away from the residence, school, or place of employment of the petitioner or any specified place frequented by the petitioner or any designated household member. A requirement that Danielle remain at least 500 feet from Tomas and his temporary residence is within the scope of this provision and is necessary given the explicit nature of her threats.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AS 18.66.100(c)(3) authorizes the court to remove and exclude the respondent from the residence of the petitioner, regardless of ownership of the residence. Tomas has been effectively displaced from the marital residence by Danielle's conduct. Ordering Danielle to vacate the residence so that Tomas may safely return and retrieve his belongings is expressly authorized under this subsection. The Alaska Supreme Court in Thomas E. Jordan v. Cheryl A. Jordan, 480 P.3d 626 (Alaska 2021), recognized the authority of courts to award interim possession of a marital residence as part of domestic relations protective relief, confirming that possession and use of shared property during the pendency of proceedings is a proper subject of judicial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Fifth, AS 18.66.100(c)(8) authorizes the court to request that a peace officer accompany the petitioner to the petitioner's residence to ensure that the petitioner safely obtains possession of the residence, vehicle, or personal items, and is able to safely remove personal items from the residence. Should the court direct Danielle to vacate, Tomas further requests that a peace officer be authorized to accompany him to the marital residence so that he may safely retrieve his essential belongings.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also notes that under AS 25.24.140(b), during the pendency of a domestic relations action he is entitled to protective orders including those for protection under AS 18.66.100 through AS 18.66.180, orders requiring Danielle to vacate the marital residence, and orders restraining Danielle from communicating directly or indirectly with him. This independent statutory basis reinforces that the relief requested is appropriate in the context of a marital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AS 18.66.110 Establishes the Proper Vehicle for Emergency Relief and Permits the Requested Protection Pending a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18.66.110(a) provides that an ex parte protective order expires 20 days after it is issued unless dissolved earlier by the court. Upon service of the ex parte order, the court shall schedule a hearing under AS 18.66.100(b) giving Danielle at least 10 days' notice and the opportunity to appear and be heard. At that hearing, Tomas will present the full evidentiary record, including photographic documentation of his injuries, the preserved text messages, and any additional corroborating evidence, to meet the preponderance of the evidence standard required for issuance of a long-term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acknowledges that the protective orders available under AS 18.66.100(c)(2) through (c)(16) are, by the terms of AS 18.66.100(b)(2), effective for one year unless earlier dissolved by court order. Whalen v. Whalen, 425 P.3d 150 (Alaska 2018), confirms that this one-year limitation governs most categories of protective relief, while the prohibition against threatening to commit domestic violence under AS 18.66.100(c)(1) remains effective until further order of the court. Tomas requests that the no-contact and stay-away provisions entered at the full hearing remain in effect for the statutory one-year period, and that the prohibition against threats of domestic violence under AS 18.66.100(c)(1) remain in effect until further order of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Marital Relationship Does Not Shield Danielle's Communications from Evidence, and Tomas's Account Is Properly Before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this is a civil proceeding brought by one spouse against the other, Alaska R. Evid. 505(a) provides that the spousal immunity rule does not apply. Specifically, Alaska R. Evid. 505(a)(2)(A) provides that there is no spousal immunity privilege in a civil proceeding brought by or on behalf of one spouse against the other spouse. Accordingly, Tomas may testify freely regarding all communications and conduct by Danielle.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Similarly, under Alaska R. Evid. 505(b)(2)(A), the confidential marital communications privilege does not apply where any of the exceptions under subdivision (a)(2) apply. Because this is a civil proceeding between spouses, the threatening text messages and any other communications from Danielle to Tomas are fully admissible and are not shielded by any evidentiary privilege. The Court may therefore consider the full content of Danielle's March 7, 2025, text messages in evaluating the need for protective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under Civil Rule 65.1, Tomas, as a pro se petitioner in a domestic violence protective order proceeding under AS 18.66.100 or AS 18.66.110, may submit his mailing address and telephone number on a separate form and omit this information from other pleadings and papers filed with the court, thereby protecting his current location from disclosure to Danielle. Tomas requests that the court maintain the confidentiality of his temporary address pursuant to this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Peace Officers Were Required to Inform Tomas of His Rights and Available Relief Following the March 4, 2025, Incident.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18.65.520(a) requires that a peace officer investigating a crime involving domestic violence shall orally and in writing inform the victim of the rights of victims of domestic violence and the services available to them, including specifically the right to request assistance in obtaining an emergency protective order and the right to file a petition in court requesting a protective order. To the extent law enforcement responded to or investigated the March 4, 2025, assault, Tomas was entitled to receive this notice. The detailed statutory notice set forth in AS 18.65.520(a) makes clear that a victim of domestic violence has the right to petition the court for relief including orders prohibiting the abuser from contacting the victim, removing the abuser from the residence, and awarding temporary custody of belongings and essential items, all of which Tomas now requests in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Veronica Louise Hudson v. Daniel Lee Hudson Confirms That Courts Must Carefully Examine Domestic Violence Allegations in the Context of an Ongoing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Veronica Louise Hudson v. Daniel Lee Hudson, 532 P.3d 272 (Alaska 2023), the Alaska Supreme Court addressed a divorce proceeding in which one spouse alleged a history of domestic violence and feared the other spouse's reaction to the dissolution of the marriage. The court's analysis confirms that domestic violence allegations must be taken seriously in the context of ongoing marital relationships, that a victim's subjective fear of a spouse based on prior conduct is relevant and cognizable, and that courts should not minimize the significance of prior incidents when evaluating requests for protective relief. Tomas's fear of Danielle, grounded in the concrete events of March 4 and March 7, 2025, is precisely the type of well-founded, evidence-based concern that Alaska courts are directed to consider carefully.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Petitioner Tomas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ex parte protective order pursuant to AS 18.66.110(a), immediately prohibiting Respondent Danielle Sutter from contacting Tomas in any form, approaching within 500 feet of his person or temporary residence, and directing her to vacate the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 full hearing pursuant to AS 18.66.100(b) at which the Court may consider the full evidentiary record and issue a long-term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At the full hearing, issue a protective order pursuant to AS 18.66.100(c)(1) prohibiting Danielle from threatening to commit or committing domestic violence against Tomas, effective until further order of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Issue a no-contact order pursuant to AS 18.66.100(c)(2) prohibiting Danielle from communicating with Tomas in any form, effective for one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Issue a stay-away order pursuant to AS 18.66.100(c)(4) requiring Danielle to remain at least 500 feet from Tomas's person and temporary residence, effective for one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Issue an order pursuant to AS 18.66.100(c)(3) removing and excluding Danielle from the marital residence so that Tomas may safely return and recover his belongings;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Authorize a peace officer to accompany Tomas to the marital residence pursuant to AS 18.66.100(c)(8) to ensure his safety while he retrieves his essential personal items;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8. Maintain the confidentiality of Tomas's current mailing address pursuant to Civil Rule 65.1;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9. Grant such other and further relief as the Court deems necessary and appropriate to protect Tomas's safety.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2026-08-17T01:20:27.310Z</dcterms:created>
  <dcterms:modified xsi:type="dcterms:W3CDTF">2026-08-17T01:20:27.310Z</dcterms:modified>
</cp:coreProperties>
</file>

<file path=docProps/custom.xml><?xml version="1.0" encoding="utf-8"?>
<Properties xmlns="http://schemas.openxmlformats.org/officeDocument/2006/custom-properties" xmlns:vt="http://schemas.openxmlformats.org/officeDocument/2006/docPropsVTypes"/>
</file>