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Sutter petitions this Court for a domestic violence protective order against his spouse, Michael Sutter, pursuant to AS 18.66.100. Over the course of six days in early March 2025, Michael subjected Marcus to physical violence, credible death threats, and a pattern of threatening conduct that continued into Marcus's workplace. Marcus seeks an order prohibiting all contact, requiring Michael to vacate the shared Fairbanks residence, and establishing a 500-foot exclusion zone around his home, workplace, and vehicle. The facts presented establish by a preponderance of the evidence that Michael has committed crimes involving domestic violence against Marcus, and that immediate, comprehensive protective relief is necessary to secure Marcus's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Sutter and Michael Sutter are married and have lived together in Fairbanks, Alaska for approximately six years. Their shared residence has been the center of their domestic life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the parties became involved in an argument concerning household finances. During that argument, Michael grabbed Marcus by the throat, shoved him forcefully against the kitchen wall, and threatened to "make him regret it" if he ever attempted to leave the relationship. This single incident involved both physical assault and a direct verbal threat tied explicitly to Marcus's ability to exercise his freedom to leave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six days after the physical assault, Michael appeared uninvited at Marcus's place of employment. In the presence of Marcus's coworkers, Michael screamed threats at Marcus, causing a scene that subjected Marcus to public humiliation and terror in a setting where he had no ready means of retreat. Later that same day, Michael sent Marcus a series of text messages in which he stated that he would "not let him walk away alive." This explicit death threat, delivered in writing, leaves no room for ambiguity regarding the danger Michael poses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conduct described above represents a rapid escalation of violence and intimidation directed at Marcus in both his domestic and professional spheres. Marcus has no adequate remedy at law to address this ongoing danger other than a protective order from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 court may issue a long-term protective order if it finds by a preponderance of the evidence that the respondent has committed a crime involving domestic violence against the petitioner. The statute does not require that the respondent appear at the hearing; a court may grant relief regardless of the respondent's presence. AS 18.66.100(b). The court may not deny a petition solely because of a lapse of time between an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recognized that courts must take seriously credible, documented threats of violence within the domestic setting, particularly where a pattern of escalating conduct is present. In Stephan P. v. Cecilia A., 464 P.3d 266 (Alaska 2020), the court affirmed the issuance of a protective order where the respondent had committed assault and had appeared at the petitioner's home without invitation. Onslow v. Brackeen, 348 P.3d 770 (Alaska 2018), the court upheld protective relief following physical violence accompanied by threatening and controlling behavior. In Williams v. Barbee, 243 P.3d 995 (Alaska 2010), the court emphasized that physical acts of violence, such as choking, weigh heavily against a respondent in domestic violence proceedings and that courts must fully consider all credible evidence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 for a protective order may be filed in the court location closest to where the petitioner resides, where the respondent resides, or where the domestic violence occurred. Civil Rule 3(h). All three of those locations are within the Fairbanks judicial district, making venue in this Court appropriate.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Michael Sutter Has Committed Crimes Involving Domestic Violence Against Marcus Sutter, Satisfying the Preponderance Standard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framework governing domestic violence protective orders requires the Court to find, by a preponderance of the evidence, that the respondent committed a crime involving domestic violence. AS 18.66.100(b). Spouses are expressly included within the class of household members against whom such acts may be committed, and the conduct described in Section II plainly constitutes criminal assault and criminal threatening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act of grabbing Marcus by the throat and shoving him against a wall on March 3, 2025, constitutes physical assault. The accompanying verbal threat, warning Marcus that he would "make him regret it" if he tried to leave, adds a coercive dimension that demonstrates Michael's intent to control Marcus through fear. The March 9, 2025 workplace confrontation, combined with text messages explicitly threatening to prevent Marcus from "walking away alive," constitutes criminal threatening and a sustained pattern of intimidation. The Alaska Supreme Court's analysis in Stephan P. v. Cecilia A., 464 P.3d 266 (Alaska 2020), is instructive: the court there affirmed a protective order where the respondent committed assault and made uninvited, threatening contact with the petitioner. The facts before this Court are at least as compelling.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Williams v. Barbee, 243 P.3d 995 (Alaska 2010), specifically noted that choking or grabbing a victim by the throat is a serious act of violence that weighs heavily against a respondent in domestic violence proceedings. That factor is directly present here and strongly supports issuance of the requested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18.66.904, a protective order may prohibit the respondent from communicating with the petitioner, remove and exclude the respondent from the residence of the petitioner regardless of ownership, direct the respondent to stay away from the petitioner's residence, workplace, or other specified places frequented by the petitioner, and prohibit the respondent from entering a vehicle in the possession of or occupied by the petitioner. Each of those provisions is warranted by the facts presented.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Marcus Sutter Is Entitled to Comprehensive Protective Relief, Including a No-Contact Order, Exclusion from the Residence, and a Distance Restriction.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18.66.999(2) authorizes the Court to prohibit the respondent from telephoning, contacting, or otherwise communicating directly or indirectly with the petitioner. Michael's use of text messages to deliver explicit death threats demonstrates that electronic communication represents a continued and documented vector of danger. A total no-contact order encompassing in-person, telephone, and electronic communication is therefore appropriate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Although Marcus and Michael share the marital home, Michael's violent conduct within that home, including the March 3, 2025 assault, makes it unsafe for Marcus to remain there alongside Michael. The shared nature of ownership or tenancy does not bar exclusionary relief; the statute expressly removes ownership as an obstacle to this remedy.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petitioner's residence, workplace, or any other place frequented by the petitioner. Michael's uninvited appearance at Marcus's workplace on March 9, 2025, and his screaming of threats before coworkers, demonstrates that he is willing to pursue Marcus into professional settings. A 500-foot exclusion zone around Marcus's residence, workplace, and vehicle is a proportionate and necessary measure to protect Marcus from further contact in these locations.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18.66.100(c)(5) authorizes the Court to prohibit the respondent from entering a propelled vehicle in the possession of or occupied by the petitioner. This provision should be included in the order to address any scenario in which Michael attempts to intercept or confront Marcus in or near his vehicle, which represents a particularly vulnerable point of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18.66.100(c)(16) further authorizes the Court to order any other relief it determines necessary to protect the petitioner or any household member. This catchall provision supports a broadly protective order tailored to the specific circumstances Marcus faces.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Michael's Invitation-Based Waiver Argument, If Raised, Is Foreclosed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Michael attempts to argue that any prior reconciliatory communication from Marcus could waive the protections of this order or nullify its terms, that argument is explicitly foreclosed by AS 18.66.130(a). Under that statute, an invitation by the petitioner to communicate, enter the residence, or have other prohibited contact does not waive or nullify any provision of a protective order. The Alaska Supreme Court's analysis in Andrea C. v. Marcus K., 355 P.3d 521 (Alaska 2015), reflects the broader principle that the integrity of protective orders must be maintained regardless of subsequent contact, and that courts must evaluate the full context of a domestic violence proceeding rather than isolating individual acts. Marcus's safety cannot be held hostage to any argument that past conciliatory conduct on his part diminishes the severity of Michael's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Mediation Is Prohibited Under These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expressly states that a court may not order parties into mediation or refer them to mediation for resolution of issues arising from a petition for a protective order under AS 18.66.100 through 18.66.180. Civil Rule 100(a) similarly provides that mediation may not be ordered between the parties to a case filed under AS 18.66.100 through 18.66.180. To the extent any future motion seeks to divert this proceeding to mediation, such a motion would be contrary to both statute and rule. Additionally, AS 25.24.140(d) confirms that the court may not order or refer parties to mediation or family counseling if a protective order issued or filed under AS 18.66.100 through 18.66.180 is in effect.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As a Pro Se Petitioner, Marcus Is Entitled to Address Confidentiality Protections.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permits a petitioner appearing pro se in a domestic violence protective order proceeding to submit his mailing address and telephone number on a separate form and to omit that information from other pleadings and papers filed with the court. Access to the form containing the petitioner's mailing address and telephone number is limited to the court, authorized court system personnel, and the petitioner. Marcus requests that the Court apply this protection to all filings in this proceeding to prevent Michael from using court records as a means of locating or monitoring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Any Attempt by Michael to Use Marital Communications Privilege Is Unavailing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Michael seek to invoke spousal privilege to exclude relevant evidence in this proceeding, that effort is foreclosed by Alaska R. Evid. 505(a)(2)(D)(v) and Alaska R. Evid. 505(b)(2)(A). Alaska R. Evid. 505(a) provides that the general spousal immunity rule carries no privilege in a proceeding in which one spouse is charged with a crime involving domestic violence as defined in AS 18.66.990. Alaska R. Evid. 505(b) provides that the confidential marital communications privilege likewise carries no privilege if any of the exceptions under subdivision (a)(2) of that rule apply. Because this proceeding concerns crimes involving domestic violence, both forms of privilege are unavailable to Michael, and all relevant communications, including the threatening text messages, may be considered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Conduct Described Satisfies the Statutory Definition and Supports the Relief Requested Under AS 25.24.140 as Well.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are married and divorce proceedings may follow, the Court should also note that AS 25.24.140(b) independently entitles a spouse, during the pendency of a domestic relations action, to necessary protective orders, including orders providing for freedom from the control of the other spouse and orders for protection under AS 18.66.100 through 18.66.180. The conduct described here, including Michael's explicit threat that he would not allow Marcus to leave the relationship and his subsequent death threat, demonstrates precisely the kind of controlling behavior this provision is designed to address. The statutory framework, taken as a whole, supports the full scope of relief Marcus requests.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presented establishes by a preponderance that Michael Sutter has committed crimes involving domestic violence against Marcus Sutter, including physical assault by strangulation, repeated death threats, and threatening workplace confrontation. The rapid escalation of Michael's conduct over a six-day period demonstrates both the seriousness of the danger Marcus faces and the inadequacy of any remedy short of a comprehensive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Sutter respectfully requests that this Court issue a protective order pursuant to AS 18.66.100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Prohibits Michael Sutter from contacting Marcus Sutter in person, by telephone, or by any electronic means, directly or indirectly,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Removes and excludes Michael Sutter from the shared Fairbanks residence regardless of ownership,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Directs Michael Sutter to remain at least 500 feet from Marcus Sutter's residence, workplace, and vehicle, pursuant to AS 18.66.100(c)(4) and AS 18.66.100(c)(5);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Orders any other relief this Court determines necessary to protect Marcus Sutter, pursuant to AS 18.66.100(c)(16);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Applies address confidentiality protections consistent with Civil Rule 65.1.</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2026-08-17T01:22:48.805Z</dcterms:created>
  <dcterms:modified xsi:type="dcterms:W3CDTF">2026-08-17T01:22:48.805Z</dcterms:modified>
</cp:coreProperties>
</file>

<file path=docProps/custom.xml><?xml version="1.0" encoding="utf-8"?>
<Properties xmlns="http://schemas.openxmlformats.org/officeDocument/2006/custom-properties" xmlns:vt="http://schemas.openxmlformats.org/officeDocument/2006/docPropsVTypes"/>
</file>