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(doc-0152)</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Bergstrom, Petitioner, respectfully submits this brief in support of his petition for a domestic violence protective order against Respondent Sarah Bergstrom. Sarah Bergstrom has committed multiple acts of domestic violence against Marcus Bergstrom, including physical assault causing visible injury, written threats, and conduct designed to prevent him from seeking legal counsel. These acts have placed Marcus Bergstrom and the parties' two minor children in immediate danger. Petitioner seeks a protective order requiring Sarah Bergstrom to vacate the shared marital residence, prohibiting her from contacting Petitioner and the children, and directing her to remain at least 500 feet from Petitioner's workplace and the children's school. The evidence establishes by a preponderance of the evidence that the requested relief is necessary to protect Petitioner and the minor children from further domestic violence.</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Bergstrom and Sarah Bergstrom are married and have resided together at a shared residence in Anchorage, Alaska for approximately six years. The parties have two minor children who reside at the shared marital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October 3, 2024, during an argument over finances, Sarah Bergstrom grabbed Marcus Bergstrom by the throat and shoved him into a wall. This assault left visible bruising on Petitioner's neck. The physical violence was unprovoked and constitutes a crime involving domestic violence as defined under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October 14, 2024, Sarah Bergstrom sent Marcus Bergstrom a text message stating that she would "make him regret everything" if he tried to leave the home. This written threat was sent directly to Petitioner's mobile device and was retained by Petitioner as evidence. This communication constitutes a threat of harm designed to intimidate Petitioner and prevent him from exercising his legal right to separate from the marital relationship.</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October 17, 2024, Sarah Bergstrom physically blocked Marcus Bergstrom from leaving the shared driveway by positioning her vehicle to obstruct his path. During this incident, she screamed that she would harm both Petitioner and their two minor children if Petitioner contacted an attorney. This conduct constitutes both a direct threat against Petitioner's physical safety and a threat against the well-being of the parties' children. It also amounts to obstruction of Petitioner's right to obtain legal representation.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Taken together, these three incidents occurring over a span of fourteen days establish a pattern of escalating physical violence, written threats, and coercive conduct directed at Petitioner. Petitioner reasonably fears for his safety and the safety of the minor children and seeks the protective relief described below.</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a court may issue a long-term protective order if it finds by a preponderance of the evidence that the respondent has committed a crime involving domestic violence against the petitioner. The court may grant such relief regardless of whether the respondent appears at the hearing. In addition, under AS 18.66.110(a), a petitioner who demonstrates probable cause that a crime involving domestic violence has occurred and who certifies efforts to provide notice to the respondent may obtain an ex parte protective order without prior notice to the respondent, where immediate danger requires it.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65(b), a temporary restraining order may be granted without notice to the adverse party where specific facts shown by affidavit or verified complaint establish that immediate and irreparable injury will result before the adverse party can be heard, provided the applicant certifies in writing the efforts made to give notice.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courts must carefully evaluate the totality of a respondent's conduct when assessing petitions for protective relief, and that a pattern of threatening behavior, even when individual acts vary in severity, may justify the issuance and extension of a protective order. Whalen v. Whalen, 425 P.3d 150 (Alaska 2018). The court has also emphasized that protective order proceedings require a fair and complete record to ensure that the rights of all parties, including minor children, are fully protected. Andrea C. v. Marcus K., 355 P.3d 521 (Alaska 2015).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25.24.910, during the pendency of a divorce or family law action, a spouse is entitled to necessary protective orders, including orders providing for the freedom of each spouse from the control of the other, orders for protection under AS 18.66.100 through AS 18.66.180, orders directing a spouse to vacate the marital residence, and orders restraining a spouse from communicating directly or indirectly with the other spouse.</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PETITIONER HAS ESTABLISHED BY A PREPONDERANCE OF THE EVIDENCE THAT SARAH BERGSTROM HAS COMMITTED CRIMES INVOLVING DOMESTIC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Statute AS 18.66.100(b) authorizes the court to issue a protective order where it finds by a preponderance of the evidence that the respondent has committed a crime involving domestic violence against the petitioner. The three documented incidents set forth in the Statement of Facts satisfy this standard independently and collectively.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October 3, 2024 physical assault, in which Sarah Bergstrom grabbed Marcus Bergstrom by the throat and shoved him into a wall with sufficient force to leave visible bruising, constitutes assault under Alaska law and falls squarely within the definition of domestic violence between household members. The October 14, 2024 text message threatening to "make him regret everything" constitutes a threat of harm communicated directly to Petitioner. The October 17, 2024 incident, in which Respondent blocked Petitioner's vehicle, screamed threats against both Petitioner and the minor children, and specifically threatened harm if Petitioner sought legal counsel, constitutes additional threatening conduct directed against Petitioner and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held in Thomas v. Thomas, 171 P.3d 98 (Alaska 2007), that courts evaluating domestic violence protective order petitions must consider the full context of the respondent's conduct. The pattern here, spanning fourteen days and escalating from physical assault to written threats to physical obstruction accompanied by verbal threats against children, demonstrates the need for court intervention. The court in Sarah D. v. John D., 352 P.3d 419 (Alaska 2015), affirmed that a magistrate's finding of multiple acts of domestic violence supported the issuance of a long-term protective order with communication restrictions. Petitioner's situation is analogous: he has documented three distinct incidents of threatening and violent conduct within a brief window of time, establishing a clear pattern of domestic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further held in State v. Strane, 61 P.3d 1284 (Alaska 2003), that the provisions of AS 18.66.956(1) through (7) set out distinct and enforceable categories of protective relief, and that knowing violation of any such provision constitutes a criminal offense. This underscores the importance of obtaining a comprehensive protective order that clearly delineates all prohibited conduct.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PETITIONER IS ENTITLED TO AN ORDER REQUIRING SARAH BERGSTROM TO VACATE THE MARITAL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18.66.100(c)(3), a protective order may "remove and exclude the respondent from the residence of the petitioner, regardless of ownership of the residence." This provision applies even where the respondent has a property interest in the home. Because Sarah Bergstrom has committed physical violence within the shared residence and has made ongoing threats that make continued cohabitation dangerous, removal of Respondent from the residence is both authorized and necessary.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25.24.140(b)(3) expressly authorizes the court, during the pendency of a family law action, to direct one spouse to vacate the marital residence or the home of the other spouse. Petitioner and the minor children should not be displaced from their home as a result of Respondent's violent and threatening conduct. Requiring Respondent to vacate will allow Petitioner and the children to remain in familiar, stable surroundings during a period of significant upheaval.</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PETITIONER IS ENTITLED TO AN ORDER PROHIBITING SARAH BERGSTROM FROM CONTACTING HIM OR THE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18.66.100(c)(1), a protective order may prohibit the respondent from threatening to commit or committing domestic violence, stalking, or harassment. Under AS 18.66.100(c)(2), a protective order may prohibit the respondent from "telephoning, contacting, or otherwise communicating directly or indirectly with the petitioner." Respondent has already used text messaging to threaten Petitioner, and she has made verbal threats in person. A no-contact provision encompassing all forms of direct and indirect communication is essential to prevent further threatening conduct.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the minor children, AS 18.66.100(c)(9) authorizes the court to award temporary custody of minor children to the petitioner and to arrange for visitation only where the safety of the child and the petitioner can be protected. Respondent directly threatened to harm the children during the October 17, 2024 incident. That threat, directed at the children in the context of coercing Petitioner, raises serious concerns about the children's immediate safety in Respondent's presence. Petitioner requests that the court award him temporary custody of the minor children and permit contact between Respondent and the children only under conditions that fully protect the children's safety.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25.24.140(b)(4), during the pendency of a domestic relations action, the court may restrain a spouse from communicating directly or indirectly with the other spouse. This independent statutory basis further supports the issuance of a comprehensive no-contact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Importantly, AS 18.66.130(a) provides that an invitation by the petitioner to have otherwise prohibited contact does not waive or nullify any provision of a protective order. Petitioner is aware that any future invitation to communicate would not eliminate the legal protections of the order, and he does not intend to issue such an invitation.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PETITIONER IS ENTITLED TO AN ORDER REQUIRING SARAH BERGSTROM TO REMAIN AT LEAST 500 FEET FROM HIS WORKPLACE AND THE CHILDREN'S SCHOOL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18.66.100(c)(4), a protective order may "direct the respondent to stay away from the residence, school, or place of employment of the petitioner or any specified place frequented by the petitioner or any designated household member under all circumstances." A 500-foot exclusion zone around Petitioner's workplace and the children's school is well within the scope of this provision.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During the October 17, 2024 incident, Respondent specifically stated she would harm Petitioner if he contacted an attorney, a direct indication that she is willing to pursue and confront him outside the home. The children's school is a place the children are required to attend regularly and where they are vulnerable. Protecting both locations from potential confrontation is necessary to ensure the safety of Petitioner and the children during the pendency of these proceedings.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AN EX PARTE PROTECTIVE ORDER SHOULD ISSUE IMMEDIATELY GIVEN THE ONGOING DANGER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18.66.110(a), the court shall issue an ex parte protective order without notice to the respondent where the petition establishes probable cause that a crime involving domestic violence has occurred, that it is necessary to protect the petitioner, and that the petitioner has certified in writing the efforts made to provide notice. Petitioner has certified those efforts with this filing. The three incidents, including a physical assault with documented injury, written threats, and threats against the children made while Petitioner was physically prevented from leaving the property, establish probable cause well beyond any doubt. The escalating nature of the conduct over fourteen days demonstrates that further harm is likely if an order is not issued on an emergency basis before a hearing can be scheduled.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65(b) similarly authorizes a temporary restraining order without notice where specific facts establish that immediate and irreparable injury will result before the adverse party can be heard. Petitioner's documented injuries and the ongoing verbal and written threats satisfy this standard. Petitioner respectfully requests that the court issue an ex parte temporary protective order immediately, to be followed by a hearing on a long-term order as provided by AS 18.66.100(b).</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F. MEDIATION IS PROHIBITED IN THIS PROCEEDING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18.66.130(c) expressly states that a court may not order parties into mediation or refer them to mediation for resolution of issues arising from a petition for a protective order. Civil Rule 100(a) similarly provides that mediation may not be ordered between the parties to, or in, a case filed under AS 18.66.100 through AS 18.66.180. No referral to mediation is appropriate in this proceeding.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 PETITIONER'S ADDRESS AND CONTACT INFORMATION SHOULD BE PROTECTED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942 provides that a pro se petitioner in a domestic violence protective order proceeding under AS 18.66.100 or AS 18.66.110 may submit mailing address and telephone number on a separate form, omitting such information from other filed pleadings, with access limited to the court and authorized personnel. Given that Respondent has expressly threatened Petitioner to prevent him from seeking legal counsel, and given the risk that disclosure of Petitioner's location could expose him to further threats or violence, Petitioner respectfully requests that the court allow him to file his address and contact information on a separate protected form consistent with Civil Rule 65.1.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 THE STANDING PRELIMINARY INJUNCTION UNDER CIVIL RULE 65(e) APPLIES TO THIS ACTION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65(e) provides that a standing injunction may be issued in domestic relations actions restraining the parties from, among other things, "threatening, harassing, or harming the other party." This rule operates in conjunction with the protective order statutes to establish a floor of minimum conduct protections for both parties from the outset of any domestic relations action. Respondent's ongoing threatening conduct is in direct violation of the conduct standards applicable to domestic relations proceedings under this rule.</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Marcus Bergstrom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Issue an immediate ex parte temporary protective order pursuant to AS 18.66.110(a) and Civil Rule 65(b), pending a full hearing on a long-term protective order under AS 18.66.100(b);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Order that Sarah Bergstrom immediately vacate the shared marital residence at Anchorage, Alaska, pursuant to AS 18.66.100(c)(3) and AS 25.24.140(b)(3);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Prohibit Sarah Bergstrom from telephoning, contacting, or otherwise communicating directly or indirectly with Petitioner or the minor children, pursuant to AS 18.66.100(c)(1) and (c)(2);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Direct Sarah Bergstrom to stay at least 500 feet away from Petitioner's place of employment and the children's school, pursuant to AS 18.66.100(c)(4);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Award Petitioner temporary custody of the minor children during the pendency of these proceedings, pursuant to AS 18.66.100(c)(9);</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Authorize Petitioner to file his address and contact information on a separate protected form pursuant to Civil Rule 65.1;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7. Grant such other and further relief as the Court deems necessary to protect Petitioner and the minor children from further domestic violence, pursuant to AS 18.66.100(c)(16).</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2026-08-17T01:25:18.513Z</dcterms:created>
  <dcterms:modified xsi:type="dcterms:W3CDTF">2026-08-17T01:25:18.513Z</dcterms:modified>
</cp:coreProperties>
</file>

<file path=docProps/custom.xml><?xml version="1.0" encoding="utf-8"?>
<Properties xmlns="http://schemas.openxmlformats.org/officeDocument/2006/custom-properties" xmlns:vt="http://schemas.openxmlformats.org/officeDocument/2006/docPropsVTypes"/>
</file>