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(doc-0155)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Larsen respectfully petitions this Court for a long-term domestic violence protective order against Danielle Larsen pursuant to AS 18.66.100. The facts of this case are grave. Within a span of five days, Danielle Larsen committed two separate and escalating acts of violence against Elena Larsen: a physical assault that required emergency medical treatment, followed by a direct, credible death threat made at gunpoint. Elena Larsen seeks an order prohibiting Danielle Larsen from contacting her in any form, requiring Danielle Larsen to vacate their shared residence, and prohibiting Danielle Larsen from possessing or using firearms for the duration of the protective order. The evidence presented satisfies every element required under Alaska law, and the relief requested is necessary to protect Elena Larsen from further, potentially lethal, harm.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Larsen and Danielle Larsen are married and reside together in Anchorage, Alaska. As defined under AS 18.66.990(5)(A), current spouses qualify as household members for purposes of the domestic violence statutes.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4, 2025, Danielle Larsen grabbed Elena Larsen by the hair and forcibly slammed her head against the kitchen wall of their shared residence. This assault caused a laceration that required emergency medical treatment at Providence Alaska Medical Center. The medical records from this visit document the injury and the circumstances under which it was sustained.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Five days later, on March 9, 2025, Elena Larsen informed Danielle Larsen of her intention to leave the marriage. In direct response to that statement, Danielle Larsen cornered Elena Larsen in their bedroom, raised a hunting rifle, pointed it directly at Elena Larsen, and stated: "If you try to leave, I will kill you and then myself." This statement constituted a direct, specific, and credible threat to take Elena Larsen's life, made while Danielle Larsen was in actual physical possession of a deadly weapon, specifically a hunting rifle.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Larsen is a victim of crimes involving domestic violence as defined by AS 18.66.990(3). The physical assault of March 4, 2025, constitutes a crime against the person under AS 11.41, specifically assault causing physical injury. The armed threat of March 9, 2025, constitutes, at minimum, assault by threat of imminent physical injury, also a crime against the person under AS 11.41, committed while Danielle Larsen was in actual possession of a firearm. Both offenses were committed by a household member against another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Larsen now seeks this Court's protection before Danielle Larsen can carry out her stated threat.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ten days' notice to the respondent. If, upon hearing, the court finds by a preponderance of the evidence that the respondent has committed a crime involving domestic violence against the petitioner, the court may order any relief available under AS 18.66.100(c),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18.66.990(3) defines "domestic violence" and "crime involving domestic violence" to mean offenses including crimes against the person under AS 11.41, committed by a household member against another household member, or an attempt to commit such an offense.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18.66.990(5)(A) defines "household member" to include adults who are current or former spouses. Because Elena Larsen and Danielle Larsen are married and residing together, Danielle Larsen qualifies as a household member whose conduct is subject to this chapter.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placing a person in fear of imminent physical injury through words or conduct constitutes assault and qualifies as domestic violence. Sarah D. v. John D., 352 P.3d 419 (Alaska 2015). The court in that case also confirmed that brandishing a weapon and making a threat while in possession of that weapon is conduct that must be factored into the protective order and custody analysis. Id. Additionally, in Thomas v. Thomas, 171 P.3d 98 (Alaska 2007), the court recognized that a history of physical assault, supported by contemporaneous reporting, provides a sufficient basis for granting protective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18.66.100(a), a person who is or has been a victim of a crime involving domestic violence may file a petition in the district or superior court for a protective order against a household member. Elena Larsen meets this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venue, Civil Rule 3(h) provides that a petition or request for a protective order on domestic violence under AS 18.66 may be filed in the judicial district or court location closest to where the petitioner currently or temporarily resides, where the respondent resides, or where the domestic violence occurred. Because both parties reside in Anchorage and both incidents occurred in Anchorage, filing in this Court is proper.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Elena Larsen is appearing pro se, Civil Rule 65.1 permits her to submit her mailing address and telephone number on a separate confidential form and to omit that information from other pleadings, protecting her location from disclosure to the respondent.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Preponderance of the Evidence Establishes That Danielle Larsen Has Committed Crimes Involving Domestic Violence Against Elena Larsen.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legal threshold for issuance of a long-term protective order under AS 18.66.100(b) is proof by a preponderance of the evidence that the respondent has committed a crime involving domestic violence against the petitioner. This is a more-likely-than-not standard, and the evidence here far exceeds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the assault of March 4, 2025, is documented by emergency medical records from Providence Alaska Medical Center. Danielle Larsen grabbed Elena Larsen by the hair and slammed her head against a wall, causing a laceration requiring emergency treatment. Physical assault causing injury is a crime against the person under AS 11.41 and therefore constitutes domestic violence as defined by AS 18.66.990(3)(A).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threat of March 9, 2025, was direct, specific, and accompanied by the display of a loaded hunting rifle pointed at Elena Larsen. Pointing a firearm at a person while declaring an intent to kill them constitutes, at minimum, assault by threat of imminent serious physical injury. As the Alaska Supreme Court recognized in Sarah D. v. John D., 352 P.3d 419 (Alaska 2015), placing another person in fear of imminent physical injury by words or other conduct is assault, and brandishing a weapon while making a threat is conduct that qualifies as domestic violence. The court in John E. v. Andrea E., 445 P.3d 649 (Alaska 2019), similarly confirmed that the serious nature of the injury threatened, including conduct that could produce serious physical injury or death, is a critical factor in evaluating domestic violence claims.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also held that a history of escalating violence between household members is relevant to the court's assessment of danger, and that prior incidents need not each independently satisfy a heightened threshold where the totality of the conduct establishes domestic violence. Yelena R. v. George R., 326 P.3d 989 (Alaska 2014). Here, the two incidents over five days reflect a clear escalation, from physical assault to a credible death threat made at gunpoint.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Accordingly, Elena Larsen has established by a preponderance of the evidence that Danielle Larsen has committed crimes involving domestic violence against her, and the Court is authorized to grant the full range of relief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Prohibit Danielle Larsen From Contacting Elena Larsen in Any Form.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 authorizes the court to prohibit the respondent from threatening to commit or committing domestic violence, stalking, or harassment. AS 18.66.100(c)(2) authorizes the court to prohibit the respondent from telephoning, contacting, or otherwise communicating directly or indirectly with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Danielle Larsen's explicit statement that she would kill Elena Larsen if she attempted to leave, any further contact between the parties carries a substantial risk of further violence or intimidation. The no-contact provisions of AS 18.66.100(c)(1) and (c)(2) are precisely designed to sever this avenue of continued threat and coercion. The Court should order that Danielle Larsen be prohibited from contacting Elena Larsen in any form, including but not limited to telephone calls, text messages, electronic messages, social media contact, third-party contact, and any other direct or indirect communication.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emphasized in Whalen v. Whalen, 425 P.3d 150 (Alaska 2018), that a protective order exists not merely to acknowledge past misconduct but, primarily, to protect the petitioner from future harm. The credible death threat made at gunpoint on March 9, 2025, makes clear that Elena Larsen requires ongoing protection from all forms of contact by Danielle Larsen.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Order Danielle Larsen to Vacate the Shared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the respondent from the residence of the petitioner, regardless of ownership of the residence. AS 18.66.100(c)(4) further authorizes the court to direct the respondent to stay away from the residence of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Both incidents of domestic violence occurred inside the home that Elena Larsen and Danielle Larsen share. Allowing Danielle Larsen to remain in the residence would place Elena Larsen in immediate and ongoing danger. The right to exclude a respondent from a shared residence, regardless of who holds title, is expressly recognized under AS 18.66.100(c)(3). As the Alaska Supreme Court noted in Sarah D. v. John D., 352 P.3d 419 (Alaska 2015), ownership of a shared residence does not determine whether a respondent may be excluded when domestic violence has been established. The shared home is both the scene of the assaults and the ongoing location of danger. Exclusion of Danielle Larsen from that residence is necessary to protect Elena Larsen's safety and is squarely authorized by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Prohibit Danielle Larsen From Possessing or Using Firearms for the Duration of the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18.66.100(c)(6) authorizes the court to prohibit the respondent from using or possessing a deadly weapon if the court finds the respondent was in actual possession of or used a weapon during the commission of domestic violence. AS 18.66.100(c)(7) authorizes the court to direct the respondent to surrender any firearm owned or possessed by the respondent if the court finds that the respondent was in actual possession of or used a firearm during the commission of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9, 2025, Danielle Larsen was in actual possession of a hunting rifle, which she pointed directly at Elena Larsen while making an explicit threat to kill her. This unambiguous conduct satisfies the statutory predicate for both the weapons prohibition and the firearm surrender order under AS 18.66.100(c)(6) and (c)(7). There is no question that Danielle Larsen both possessed and actively used a firearm as an instrument of intimidation and threatened lethal violence during the commission of an act of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recognized in Whalen v. Whalen, 425 P.3d 150 (Alaska 2018), that the firearms provisions of AS 18.66.100(c)(6) and (c)(7) are available to the court under the appropriate factual circumstances. Those circumstances are unambiguously present here. Permitting Danielle Larsen to retain possession of the hunting rifle or any other firearm while a protective order is in effect would expose Elena Larsen to an ongoing risk of lethal harm. The Court should order the immediate surrender of all firearms in Danielle Larsen's possession and prohibit her from acquiring or possessing any deadly weapon for the duration of the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No Additional Procedural Barriers Exist to the Relief Requested.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18.66.100(e) provides that a court may not deny a petition for a protective order solely because there is a lapse of time between an act of domestic violence and the filing of the petition. Although Elena Larsen is filing promptly after the incidents of March 4 and March 9, 2025, this provision confirms that even if some time were to elapse before filing, delay alone is not grounds for denial.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Moreover, AS 25.24.060(f) provides that the court may not order or refer parties to mediation in a divorce proceeding if a protective order issued or filed under AS 18.66.100 through 18.66.180 is in effect. Civil Rule 100(a) confirms that mediation may not be ordered in a case filed under AS 18.66.100 through 18.66.180. These provisions collectively ensure that Danielle Larsen cannot seek to divert this matter into a mediation process in order to approach or pressure Elena Larsen. The parties' marital status does not diminish Elena Larsen's right to full protective relief, nor does it subject her to any mandatory mediation requirement. To the contrary, the existence of documented domestic violence forecloses any such referral.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evidence, the Court should be aware that Alaska R. Evid. 505(a)(2)(D)(v) provides that there is no spousal privilege in a proceeding involving a crime involving domestic violence as defined in AS 18.66.990. This means that any communications between Elena Larsen and Danielle Larsen that are relevant to the domestic violence at issue are admissible, and Danielle Larsen cannot invoke the marital communications privilege to shield her threatening statements or other relevant conduct from the Court's consideration.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Larsen has established by more than a preponderance of the evidence that Danielle Larsen committed two serious crimes involving domestic violence against her within a five-day period: a physical assault causing a laceration requiring emergency medical treatment, and an armed death threat made at gunpoint. Both incidents were committed by a household member against another household member and are cognizable offenses under AS 18.66.990(3)(A).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relief requested is expressly authorized by AS 18.66.100(c) and is necessary to protect Elena Larsen from further and potentially fatal harm. Specifically, Elena Larsen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 long-term protective order prohibiting Danielle Larsen from threatening, contacting, or communicating with Elena Larsen in any form, directly or indirectly, pursuant to AS 18.66.100(c)(1) and (c)(2);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Danielle Larsen to vacate and remain away from the shared residence, regardless of ownership, pursuant to AS 18.66.100(c)(3) and (c)(4);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Prohibit Danielle Larsen from possessing or using any deadly weapon and order her to surrender all firearms currently in her possession, pursuant to AS 18.66.100(c)(6) and (c)(7).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Larsen respectfully urges the Court to grant this petition in full. The facts are documented, the legal standard is satisfied, and the need for protection is urgent.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2026-08-17T01:30:05.739Z</dcterms:created>
  <dcterms:modified xsi:type="dcterms:W3CDTF">2026-08-17T01:30:05.739Z</dcterms:modified>
</cp:coreProperties>
</file>

<file path=docProps/custom.xml><?xml version="1.0" encoding="utf-8"?>
<Properties xmlns="http://schemas.openxmlformats.org/officeDocument/2006/custom-properties" xmlns:vt="http://schemas.openxmlformats.org/officeDocument/2006/docPropsVTypes"/>
</file>