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(doc-0157)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Petrova respectfully submits this brief in support of his petition for a domestic violence protective order against Respondent Colin Petrova. The parties are married and have resided together in Anchorage, Alaska for six years. On March 4, 2024, Colin physically assaulted Tomas by grabbing him by the throat, shoving him into a kitchen cabinet, and threatening to kill him if he ever attempted to leave the relationship. On March 18, 2024, Colin appeared uninvited at Tomas's workplace, blocked his vehicle in the parking lot, and screamed additional threats in front of Tomas's coworkers. These acts of domestic violence are serious, escalating, and ongoing. Tomas seeks a protective order under AS 18.66.100 prohibiting Colin from contacting him by any means, requiring Colin to vacate the marital home, and granting Tomas temporary exclusive use of the shared vehicle. The evidence presented satisfies the applicable legal standard, and the relief requested is expressly authorized by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Petrova and Colin Petrova are married and have lived together in Anchorage, Alaska for approximately six years. Their shared residence serves as both their marital home and their primary place of cohabitation, making Colin a household member within the meaning of Alaska's domestic violence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4, 2024, Colin and Tomas were involved in an argument over household finances. During that argument, Colin grabbed Tomas by the throat, a direct and forceful physical assault, and then shoved him into a kitchen cabinet with enough force to cause Tomas to impact the cabinet. Colin then stated, in substance: "If you ever try to leave me, I will kill you." This statement constitutes a direct death threat, made immediately following physical violence, and reflects Colin's intent to use force and intimidation to prevent Tomas from exercising his legal right to end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Approximately two weeks later, on March 18, 2024, Colin appeared uninvited at Tomas's place of employment in Anchorage. Colin located Tomas's vehicle in the workplace parking lot and deliberately blocked it so that Tomas could not drive away. Colin then screamed threats at Tomas in front of Tomas's coworkers. This incident occurred at a location separate from the marital home, demonstrating that Colin's threatening conduct is not confined to any single setting and that Tomas cannot feel safe even at his place of 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conduct on March 4, 2024 constitutes assault and a criminal threat under Alaska law. The conduct on March 18, 2024 constitutes harassment and stalking-type behavior, as Colin tracked Tomas to his workplace and engaged in threatening conduct in a public setting. Taken together, the two incidents reflect a pattern of intimidation, physical violence, and coercive control that places Tomas in reasonable fear for his physical safety and his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now petitions this Court for a protective order requiring Colin to have no contact with him by any means, to vacate the marital home, and to surrender use of the shared vehicle to Tomas. This petition is filed in the judicial district in which the parties reside and in which the acts of domestic violence occurred, consistent with Civil Rule 3(h).</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ten days' notice to the respondent. If the court finds by a preponderance of the evidence that the respondent has committed a crime involving domestic violence against the petitioner, regardless of whether the respondent appears at the hearing, the court may order any relief available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preponderance standard requires that it be more likely than not that the respondent committed a crime involving domestic violence. This is a civil evidentiary standard, not a criminal one, and it does not require proof beyond a reasonable doubt. The Alaska Supreme Court has recognized that courts evaluating domestic violence petitions must take seriously the credible allegations of petitioners and afford them the protections the legislature intended. Thomas v. Thomas, 171 P.3d 98 (Alaska 2007). The court is similarly instructed that it may not deny a petition solely because of a lapse of time between the act of domestic violence and the filing of the petition. AS 18.66.100(e)(1).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relief available upon a finding of domestic violence is broad. Under AS 18.66.100(c), the court may prohibit the respondent from contacting the petitioner by any means, remove and exclude the respondent from the petitioner's residence, direct the respondent to stay away from the petitioner's place of employment, and grant the petitioner possession and use of a shared vehicle. All of these forms of relief are expressly authorized and applicable to the facts of this case.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18.66.901, a petitioner who fears imminent danger may also seek an ex parte protective order prior to the full hearing. An ex parte order may be issued without notice to the respondent if the court finds probable cause that a crime of domestic violence has occurred and that the order is necessary to protect the petitioner. An ex parte protective order expires twenty days after it is issued unless dissolved earlier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18.66.130(a) makes clear that even if the respondent is invited by the petitioner to make contact after an order is issued, that invitation does not waive or nullify any provision of the protective order. This provision is important in the domestic violence context because it protects petitioners from arguments that any subsequent contact was consensual.</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TOMAS HAS ESTABLISHED BY A PREPONDERANCE OF THE EVIDENCE THAT COLIN COMMITTED CRIMES INVOLVING DOMESTIC VIOLENCE AGAINST HIM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two incidents described above, the physical assault and death threat on March 4, 2024, and the workplace confrontation on March 18, 2024, each independently constitute crimes involving domestic violence as defined under Alaska law. Together, they establish a pattern of escalating violence and intimidation that fully satisfies the preponderance standard of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4 incident involved Colin grabbing Tomas by the throat and shoving him into a kitchen cabinet. These acts constitute physical assault: intentional, unlawful physical contact made without Tomas's consent and causing pain and physical impact. Colin's accompanying statement that he would kill Tomas if he ever tried to leave constitutes criminal threatening, a separate crime involving domestic violence. Colin made this threat immediately after committing a physical assault, lending it credibility and causing Tomas to fear for his life. The Alaska Supreme Court has recognized that courts must evaluate threatening statements in context, and here the context is unambiguous: Colin used physical force and then delivered a death threat to prevent Tomas from exercising his legal right to separate from the marriage. Williams v. Barbee, 243 P.3d 995 (Alaska 2010).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18 incident further demonstrates that Colin's threatening conduct is deliberate, premeditated, and continuing. Colin traveled to Tomas's workplace, located his car, and physically blocked it so that Tomas could not leave. This act alone constitutes unlawful restraint. Colin then screamed threats in front of Tomas's coworkers, causing public humiliation and fear. This conduct reinforces that Colin's behavior is not an isolated outburst but rather a calculated effort to control, intimidate, and harm Tomas.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Together, these incidents satisfy the preponderance standard. The evidence demonstrates that Colin has committed crimes involving domestic violence against Tomas on at least two occasions within a two-week period, and the escalating nature of the conduct places Tomas at ongoing and serious risk of harm.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COURT SHOULD PROHIBIT COLIN FROM CONTACTING TOMAS BY ANY MEANS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18.66.100(c)(2) expressly authorizes the court to prohibit a respondent from "telephoning, contacting, or otherwise communicating directly or indirectly with the petitioner." Given Colin's history of physically assaulting Tomas and threatening to kill him, and given that Colin has already demonstrated his willingness to track Tomas to his workplace and confront him publicly, a complete no-contact order is necessary and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Permitting any form of contact, whether in person, by telephone, or electronically, would expose Tomas to further intimidation, harassment, and potential violence. The pattern of escalation from the March 4 home assault to the March 18 workplace confrontation demonstrates that Colin does not recognize boundaries and will use whatever means of access he has to continue threatening Tomas. Only a comprehensive no-contact prohibition will provide Tomas with the protection he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18.66.100(c)(4) permits the court to direct the respondent to stay away from the petitioner's place of employment. Given that Colin appeared uninvited at Tomas's workplace and screamed threats in front of his coworkers, an order requiring Colin to stay away from Tomas's place of employment is independently warranted. Tomas should not be forced to fear for his safety at work or to worry that further confrontations will jeopardize his 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the importance of comprehensive protective relief in domestic violence cases where the respondent has demonstrated a willingness to pursue the petitioner across locations. Thomas v. Thomas, 171 P.3d 98 (Alaska 2007). The facts here compel the same conclusion.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REQUIRE COLIN TO VACATE THE MARITAL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the respondent from the residence of the petitioner, regardless of ownership of the residence." This provision applies here even though the home is the shared marital residence. The plain language of the statute makes clear that ownership is not a bar to exclusion: Colin may be ordered to leave even if he holds an ownership interest in the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Requiring Colin to vacate the marital home is essential to Tomas's safety. Colin has already committed physical violence against Tomas in that home and has threatened to kill him in that same space. If Colin is permitted to remain in the home alongside Tomas, Tomas will continue to face the daily risk of physical assault and further threats. The home, which should be a place of safety, has instead become a site of violence and fear.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removal of a respondent from the shared residence is a core protective remedy in domestic violence proceedings, and that courts should not hesitate to order such relief when the petitioner's safety requires it. Thomas E. Jordan v. Cheryl A. Jordan, 867 P.3d 536 (Alaska 2021). Here, that safety imperative is clear. Tomas has nowhere else to go if he is forced to leave the marital home, and it would be unjust to require a victim of domestic violence to abandon his own residence while his abuser remains inside.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25.24.140(b)(3) independently authorizes the court, during the pendency of a related divorce or separation action, to direct one spouse to vacate the marital residence or the home of the other spouse. Even setting aside the protective order statute, this provision confirms that the legislature has specifically contemplated and authorized this relief in the context of married parties experiencing domestic violence.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GRANT TOMAS TEMPORARY EXCLUSIVE USE OF THE SHARED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18.66.100(c)(10) authorizes the court to give the petitioner "possession and use of a vehicle and other essential personal items, including a pet, regardless of ownership of the items under all circumstances." Tomas requests that the court award him temporary exclusive use of the vehicle shared by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Tomas's ability to use the shared vehicle is essential to his safety and independence. Without access to reliable transportation, Tomas cannot get to and from work, cannot seek medical care or legal assistance, and cannot take other steps to protect himself from further violence. Colin has already demonstrated, on March 18, 2024, that he is willing to use the vehicle as a tool of control by physically blocking Tomas's car to prevent him from driving away. Allowing Colin to retain access to the shared vehicle would give him an ongoing means of exercising coercive control over Tomas's movements.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relief requested under AS 18.66.100(c)(10) does not require Tomas to demonstrate that he is the sole or primary owner of the vehicle. The statute expressly applies "regardless of ownership," meaning that any ownership interest Colin may hold is not a basis for denying this relief. The court need only find that awarding Tomas possession and use of the vehicle is appropriate given the circumstances, and the facts presented here plainly support that finding.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MAY NOT ORDER MEDIATION IN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note that mediation is not an appropriate or permissible resolution mechanism in this case. Under AS 18.66.130(c), a court may not order parties into mediation or refer them to mediation for resolution of issues arising from a petition for a protective order filed under AS 18.66.100. Civil Rule 100(a) further specifies that mediation may not be ordered between the parties to a case filed under AS 18.66.100 through 18.66.180. Likewise, AS 25.24.060(f) provides that the court may not order or refer parties to mediation in a divorce proceeding if a protective order issued or filed under AS 18.66.100 through 18.66.180 is in effect.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These provisions reflect the legislature's recognition that mediation in a domestic violence context is inherently coercive and potentially dangerous, as it may expose victims to further intimidation. If the parties' marriage leads to a related divorce proceeding, these statutory protections remain in force.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ADDITIONAL PROTECTIVE MEASURES ARE WARRANTED UNDER THE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18.66.100(c)(16) authorizes the court to "order other relief the court determines necessary to protect the petitioner or any household member." Given the severity and escalating nature of Colin's conduct, Tomas respectfully requests that the court consider any additional measures it deems necessary to ensure his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protective orders must be fashioned to address the specific dangers a respondent poses to the petitioner, and that courts have broad discretion under the statute to craft relief that meets those needs. Reed v. Parrish, 868 P.3d 896 (Alaska 2012). Colin has demonstrated that he will pursue Tomas to multiple locations and use both physical force and verbal threats to intimidate him. The court is empowered to respond comprehensively to that threat.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if Tomas proceeds as a self-represented petitioner, Civil Rule 65.1 permits him to submit his mailing address and telephone number on a separate form, omitting this information from other pleadings and papers filed with the court, with access to that information limited to the court and authorized personnel. This protection is particularly important here, as Colin has already demonstrated his willingness to track Tomas to his workplace, and disclosure of Tomas's address through court records could further endanger him.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presented in this brief establishes by a preponderance of the evidence that Respondent Colin Petrova has committed crimes involving domestic violence against Petitioner Tomas Petrova on at least two separate occasions within a two-week period. The acts involved physical assault, a credible death threat made during ongoing violence, and a subsequent confrontation at Tomas's workplace in which Colin blocked his vehicle and screamed threats in public. The pattern of conduct is serious, escalating, and ongoing.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Petrova respectfully requests that this Court issue a domestic violence protective order under AS 18.66.100 that: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Prohibits Colin Petrova from contacting Tomas Petrova in person, by telephone, electronically, or by any other direct or indirect means, pursuant to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Requires Colin Petrova to stay away from Tomas Petrova's place of employment and all other places Tomas frequents, pursuant to AS 18.66.100(c)(4);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Removes and excludes Colin Petrova from the marital residence, regardless of ownership,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Awards Tomas Petrova temporary exclusive possession and use of the shared vehicle, regardless of ownership, pursuant to AS 18.66.100(c)(10);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Orders any other relief the Court determines necessary to protect Tomas Petrova from further domestic violence, pursuant to AS 18.66.100(c)(16).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statutory authority is clear, the facts are compelling, and the relief requested is narrowly tailored to address the specific and ongoing danger that Colin Petrova poses to Tomas Petrova. This Court should grant the petition in full.</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2026-08-17T01:34:04.253Z</dcterms:created>
  <dcterms:modified xsi:type="dcterms:W3CDTF">2026-08-17T01:34:04.253Z</dcterms:modified>
</cp:coreProperties>
</file>

<file path=docProps/custom.xml><?xml version="1.0" encoding="utf-8"?>
<Properties xmlns="http://schemas.openxmlformats.org/officeDocument/2006/custom-properties" xmlns:vt="http://schemas.openxmlformats.org/officeDocument/2006/docPropsVTypes"/>
</file>