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(doc-0158)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Larsen respectfully petitions this Court for a domestic violence protective order against his brother, Wesley Larsen, pursuant to AS 18.66.100. The two men share a residence at 412 Birch Creek Road in Fairbanks, Alaska, and therefore qualify as household members under Alaska's domestic violence statutes. Over the course of one week in March 2025, Wesley Larsen twice subjected David Larsen to acts of domestic violence: first by physically shoving him into a kitchen counter, and second by appearing in his bedroom doorway while holding a hunting knife and delivering an explicit verbal threat. These acts, taken together, establish by a preponderance of the evidence that David Larsen has been a victim of domestic violence committed by a household member and that immediate, sustained court protection is necessary to preserve his safety.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Larsen requests that this Court issue a protective order prohibiting Wesley Larsen from communicating with him in any manner, requiring Wesley Larsen to vacate the shared residence at 412 Birch Creek Road, and prohibiting Wesley Larsen from possessing firearms or other deadly weapons for the duration of the order. Each form of relief is expressly authorized by AS 18.66.100(c) and is warranted by the facts presented.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Larsen and his brother Wesley Larsen are adult household members who have resided together at 412 Birch Creek Road in Fairbanks, Alaska, at all times relevant to this petition. Their cohabitation makes each a "household member" of the other within the meaning of Alaska's domestic violence statutes.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3, 2025, Wesley Larsen and David Larsen became involved in an argument concerning unpaid rent obligations. During that argument, Wesley Larsen shoved David Larsen forcefully into the kitchen counter. The impact caused visible bruising to David Larsen's lower back. This physical contact was not accidental: it was an intentional act of force directed at David Larsen during an interpersonal confrontation in their shared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9, 2025, just six days after the physical assault, Wesley Larsen escalated his threatening conduct. He appeared in the doorway of David Larsen's bedroom holding a hunting knife. Standing there, Wesley stated to David: "Next time you run your mouth, I will make sure you regret it." Wesley's possession of the knife during this encounter, combined with the explicit threat, constituted both a threatening display of a deadly weapon and a direct verbal threat of future physical harm.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Larsen now fears for his safety within the shared residence. Because Wesley Larsen continues to reside at 412 Birch Creek Road, David Larsen remains in ongoing proximity to his abuser. David Larsen files this petition seeking court intervention to protect his physical safety and well-being. This petition is filed in the judicial district where the domestic violence occurred and where both parties currently reside, as authorized by Civil Rule 3(h).</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when a petitioner files for a domestic violence protective order, the court shall schedule a hearing and provide the respondent with notice and an opportunity to be heard. If the court finds by a preponderance of the evidence that the respondent has committed a crime involving domestic violence against the petitioner, the court may order any relief available under AS 18.66.100(c). The preponderance standard requires only that the petitioner demonstrate that it is more likely than not that the acts of domestic violence occurred.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emergency circumstances, AS 18.66.110(a) authorizes the court to issue an ex parte protective order, without prior notice to the respondent, upon a finding of probable cause that a crime involving domestic violence has occurred and that the protective order is necessary to protect the petitioner. An ex parte order remains in effect for 20 days unless dissolved earlier.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have recognized that the primary purpose of a protective order is to protect the petitioner from future harm, not merely to acknowledge a past wrong. Whalen v. Whalen, 425 P.3d 150 (Alaska 2018). The Alaska Supreme Court has further confirmed that a court may not deny a petition for a protective order solely because time has elapsed between an act of domestic violence and the filing of the petition. AS 18.66.100(e). This principle ensures that victims who face ongoing threats are not penalized for any delay in seeking court protection.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also emphasized that the issuance of a protective order is a forward-looking remedy, designed to protect petitioners from continuing danger. Whalen v. Whalen, 425 P.3d 150 (Alaska 2018). The facts presented in this petition demonstrate both a history of physical violence and an escalating pattern of threatening behavior, fully satisfying the legal standard for the relief requested.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David Larsen Is a Victim of Domestic Violence Committed by a Household Member, Satisfying the Threshold Requirement for a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18.66.100(a) provides that a person who is or has been a victim of a crime involving domestic violence may file a petition for a protective order against a household member. David Larsen and Wesley Larsen are brothers who share a residence, making them household members as defined under Alaska law. The acts committed by Wesley Larsen on March 3 and March 9, 2025, each independently constitute crimes involving domestic violence: the March 3 shove into the kitchen counter constitutes assault by intentional physical contact causing injury, and the March 9 threat delivered while Wesley held a hunting knife constitutes threatening and menacing conduct with a deadly weapon.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courts evaluating domestic violence petitions must carefully consider patterns of escalating behavior, not merely isolated incidents. Thomas v. Thomas, 171 P.3d 98 (Alaska 2007). Here, the conduct escalated from physical violence to a weapon-accompanied threat within six days, a trajectory that strongly supports the conclusion that David Larsen faces a genuine and ongoing risk of serious harm.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preponderance of the evidence standard is readily satisfied. David Larsen experienced the shove firsthand, sustained visible bruising to his lower back, and personally heard Wesley's explicit threat while Wesley held a knife. These facts, taken together, establish that it is more likely than not that Wesley Larsen committed crimes of domestic violence against David Larsen. The Court should therefore proceed to address each form of relief requested.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Court Should Prohibit Wesley Larsen from Contacting David Larsen in Any Manner.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18.66.100(c)(1) authorizes the court to prohibit the respondent from threatening to commit or committing domestic violence, stalking, or harassment. AS 18.66.100(c)(2) further authorizes the court to prohibit the respondent from telephoning, contacting, or otherwise communicating directly or indirectly with the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Both forms of relief are warranted here. Wesley Larsen has already escalated from physical assault to armed verbal threats. Given this progression, any continued contact between Wesley and David Larsen poses a threat to David's safety. The no-contact provisions of AS 18.66.100(c)(1) and (c)(2) are designed precisely for situations such as this, where the respondent has demonstrated a willingness to use physical force and threatening language against the petitioner in their shared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Importantly, AS 18.66.130(a) makes clear that even if David Larsen were to invite contact after such an order is issued, that invitation would not waive or nullify any provision of the protective order. This statutory protection prevents the abusive dynamic present in many domestic violence relationships from undermining the force of the court's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18.66.130(c) expressly provides that a court may not order the parties into mediation or refer them to mediation for resolution of issues arising from a petition under AS 18.66.100 to 18.66.180. Civil Rule 100(a) reinforces this prohibition, confirming that mediation may not be ordered between the parties in a case filed under AS 18.66.100 to 18.66.180. Any suggestion that the parties should resolve this dispute through mediation or informal agreement would be contrary to both the statute and the applicable court rule.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Order Wesley Larsen to Vacate the Shared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18.66.100(c)(3) expressly authorizes the court to remove and exclude the respondent from the residence of the petitioner, regardless of ownership of the residence. AS 18.66.100(c)(4) further authorizes the court to direct the respondent to stay away from the residence of the petitioner or any specified place frequented by the petitioner or any designated household member.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These provisions directly address David Larsen's circumstances. The shared residence at 412 Birch Creek Road is the location where both acts of domestic violence occurred. The kitchen where Wesley shoved David and the bedroom doorway where Wesley appeared wielding a knife are both within the four walls of their shared home. So long as Wesley Larsen remains in the residence, David Larsen cannot feel safe in his own home, cannot sleep without fear of further assault, and cannot avoid the proximity to his abuser that enabled both incidents.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legislature's inclusion of the phrase "regardless of ownership of the residence" in AS 18.66.100(c)(3) reflects a deliberate policy choice: a respondent's property interest in a shared home does not supersede the petitioner's right to physical safety within that home. This Court should therefore order Wesley Larsen to vacate 412 Birch Creek Road and to stay away from that address for the duration of the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Prohibit Wesley Larsen from Possessing Firearms or Other Deadly Weapons.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18.66.100(c)(6) authorizes the court to prohibit the respondent from using or possessing a deadly weapon if the court finds the respondent was in the actual possession of or used a weapon during the commission of domestic violence. AS 18.66.100(c)(7) further authorizes the court to direct the respondent to surrender any firearm owned or possessed by the respondent if the court finds that the respondent was in the actual possession of or used a firearm during the commission of the domestic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9, 2025, Wesley Larsen was in the actual possession of a hunting knife, a deadly weapon, at the time he made an explicit threat against David Larsen. This factual predicate satisfies the statutory threshold for both provisions. The court in Whalen v. Whalen, 425 P.3d 150 (Alaska 2018), acknowledged the propriety of weapon-related restrictions in domestic violence protective orders where the record supports a finding that the respondent possessed or used a weapon during the commission of the domestic violence. The March 9 incident is precisely such a situation.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hunting knife is a deadly weapon by any ordinary definition. Wesley Larsen chose to hold that weapon while standing in David Larsen's bedroom doorway and while delivering a direct, specific threat of future harm. The decision to arm himself for that confrontation, rather than appearing unarmed, signals both that Wesley has access to deadly weapons and that he is willing to deploy them as instruments of intimidation and threat in the context of his conflict with David. Prohibiting Wesley from possessing firearms or other deadly weapons, and requiring surrender of any firearms he currently possesses, is a proportionate and necessary response to this demonstrated conduct.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Court May Issue the Requested Order on an Ex Parte Basis Pending a Full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the immediacy of the threat Wesley Larsen poses, David Larsen respectfully requests that the Court consider issuing an ex parte protective order under AS 18.66.110(a) pending a full hearing on this petition. AS 18.66.110(a) provides that if the court finds that the petition establishes probable cause that a crime involving domestic violence has occurred and that it is necessary to protect the petitioner from domestic violence, and if the petitioner has certified in writing the efforts made to provide notice to the respondent, the court shall issue a protective order ex parte and without notice to the respondent.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facts set forth in this petition establish probable cause that Wesley Larsen committed crimes of domestic violence against David Larsen on both March 3 and March 9, 2025. The escalating nature of that conduct, concluding with an armed threat just days before the filing of this petition, demonstrates the necessity of immediate court intervention. An ex parte order under AS 18.66.110(a) may grant the protection provided by AS 18.66.100(c)(1) to (5), (8) to (12), and (16), encompassing each category of relief David Larsen has requested.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Moreover, Civil Rule 65(b) provides that a temporary restraining order may be granted without notice to the adverse party if it clearly appears from specific facts shown by affidavit or verified complaint that immediate and irreparable injury, loss, or damage will result to the applicant before the adverse party can be heard in opposition. David Larsen continues to reside in close quarters with a person who has physically assaulted him and subsequently threatened him with a knife. The risk of irreparable injury is not speculative; it is ongoing and immediate.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This Court Is a Proper Venue for This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3(h) provides that a petition for a protective order on domestic violence under AS 18.66 may be filed in either the judicial district or the court location closest to where the petitioner currently or temporarily resides, where the respondent resides, or where the domestic violence occurred. All three bases for venue are satisfied in this case. Both David and Wesley Larsen reside at 412 Birch Creek Road in Fairbanks, Alaska, and both acts of domestic violence occurred at that same address. This Court, sitting in Fairbanks, is therefore a proper forum for this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 David Larsen's Address Information Is Entitled to Confidentiality Protection Under Civil Rule 65.1.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65.1 provides that a petitioner appearing pro se in a proceeding to obtain a domestic violence protective order under AS 18.66.100 or AS 18.66.110 may submit the petitioner's mailing address and telephone number on a separate form and omit this information from other pleadings and papers filed with the court. Access to the form containing the petitioner's mailing address and telephone number is limited to the court, authorized court system personnel, and the petitioner. David Larsen invokes this protection and requests that his contact and address information be maintained on a separate confidential form, consistent with Civil Rule 65.1.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Larsen has suffered two serious acts of domestic violence at the hands of his household member and brother, Wesley Larsen, within the span of six days. The first act involved intentional physical force causing injury; the second involved an armed, explicit threat of future harm. These acts satisfy the statutory standard for the issuance of a domestic violence protective order under AS 18.66.100, and each specific form of relief requested is expressly authorized by that statute.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Larsen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Issue a protective order pursuant to AS 18.66.100 prohibiting Wesley Larsen from threatening, committing domestic violence against, or contacting David Larsen in any manner, directly or indirectly, pursuant to AS 18.66.100(c)(1) and (c)(2);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Order Wesley Larsen to vacate and stay away from the residence at 412 Birch Creek Road, Fairbanks, Alaska, regardless of any ownership interest Wesley may hold in that property, pursuant to AS 18.66.100(c)(3) and (c)(4);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Prohibit Wesley Larsen from using or possessing any deadly weapon, including but not limited to firearms and knives, and require Wesley Larsen to surrender any firearms he currently owns or possesses, pursuant to AS 18.66.100(c)(6) and (c)(7);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Consider issuing an ex parte protective order under AS 18.66.110(a) providing immediate interim protection pending a full hearing;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such other relief as the Court determines necessary to protect David Larsen's safety, pursuant to AS 18.66.100(c)(16).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evidence presented in this petition demonstrates by a preponderance of the evidence, and at minimum by probable cause, that Wesley Larsen committed crimes involving domestic violence against David Larsen and that continued, immediate protection is necessary to safeguard David Larsen's physical safety and well-being.</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2026-08-17T01:35:32.458Z</dcterms:created>
  <dcterms:modified xsi:type="dcterms:W3CDTF">2026-08-17T01:35:32.458Z</dcterms:modified>
</cp:coreProperties>
</file>

<file path=docProps/custom.xml><?xml version="1.0" encoding="utf-8"?>
<Properties xmlns="http://schemas.openxmlformats.org/officeDocument/2006/custom-properties" xmlns:vt="http://schemas.openxmlformats.org/officeDocument/2006/docPropsVTypes"/>
</file>