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ESTABLISH OR MODIFY CHILD SUPPORT</w:t>
      </w:r>
    </w:p>
    <w:p>
      <w:pPr>
        <w:spacing w:after="0" w:before="0" w:line="240"/>
        <w:jc w:val="center"/>
      </w:pPr>
      <w:r>
        <w:rPr>
          <w:rFonts w:ascii="Times New Roman" w:cs="Times New Roman" w:eastAsia="Times New Roman" w:hAnsi="Times New Roman"/>
          <w:b w:val="false"/>
          <w:bCs w:val="false"/>
          <w:sz w:val="24"/>
          <w:szCs w:val="24"/>
        </w:rPr>
        <w:t xml:space="preserve">(doc-0162)</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Nakamura respectfully petitions this Court to modify the existing child support order entered in 2021. Since the entry of that order, the financial circumstances of both parties have changed substantially, and the residential schedule under which the children live has shifted significantly in favor of Marcus as the primary residential parent. Michael Nakamura's income has increased from approximately $52,000 to approximately $94,000 per year, while Marcus has reduced his earnings to approximately $28,000 annually in order to meet the children's increased day-to-day care demands. The children now reside primarily with Marcus approximately 70 percent of the time, a material departure from the shared custody arrangement upon which the original $850 per month support figure was based. These changes, taken together, constitute a material change in circumstances warranting an upward modification of child support consistent with Alaska Civil Rule 913.</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and Michael Nakamura divorced in 2021. At the time of the divorce decree, the Court entered a child support order requiring Michael to pay $850 per month. That figure was calculated based on Michael's annual salary of $52,000 as a warehouse supervisor and a shared physical custody schedule in which each parent had the children for roughly equal portions of the year, meeting the shared physical custody threshold under Civil Rule 90.3(f).</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Since the entry of the 2021 order, the following material changes have occurred: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First, Michael accepted a new position as a regional logistics manager. His current annual salary is approximately $94,000, representing an increase of approximately $42,000 per year over the income figure used to calculate the existing support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Second, Marcus reduced his work hours to part-time employment, earning approximately $28,000 per year. This reduction was necessitated by the children's increased need for after-school supervision and care, a caregiving burden that falls primarily on Marcus.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Third, the parties reached an informal mutual agreement approximately six months ago under which the children now reside primarily with Marcus approximately 70 percent of the time. Under Civil Rule 90.3(f), a parent with primary physical custody is one with whom the children reside for more than 70 percent of the year. The children's current schedule places Marcus at or above that threshold, fundamentally altering the custody classification that formed the basis of the original child support calculation.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existing order of $850 per month no longer reflects the parties' actual financial circumstances or the residential reality in which the children live.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25.20.110(a), a court may modify an award of custody or related provisions if the court determines that a change in circumstances requires modification and that modification is in the best interests of the child. AS 25.24.170(a) provides that, subject to AS 25.20.110, any time after judgment the court, upon the motion of either party, may set aside, alter, or modify so much of the judgment as may provide for the maintenance of either party or the care and custody of the minor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child support specifically, Civil Rule 90.3(h)(1) provides that a material change in circumstances is presumed when child support as calculated under the rule is more than 15 percent greater or less than the outstanding support order. The Alaska Supreme Court has affirmed that this presumption is the operative trigger for modification proceedings. See Shanigan v. Shanigan, 386 P.3d 1238 (Alaska 2017); Bunn v. House, 851 P.2d 498 (Alaska 1997).</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Where the parties have shared physical custody, Civil Rule 90.3(b)(1) governs the calculation of child support, using the incomes of both parents and the percentage of custodial time each parent exercises. Where one parent has primary physical custody, Civil Rule 90.3(a) governs, and support is calculated as a percentage of the non-custodial parent's adjusted annual income. Holmes v. Holmes, 414 P.3d 662 (Alaska 2018).</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A Material Change of Circumstances Exists Warranting Modification of the Child Support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threshold requirement for modification of child support is a material change of circumstances. Bunn v. House, 934 P.2d 753 (Alaska 1997). Such a change is presumed when recalculation under Civil Rule 90.3 yields a figure more than 15 percent greater or less than the existing order. Shanigan v. Shanigan, 386 P.3d 1238 (Alaska 2017). Here, multiple independent grounds each individually satisfy this threshold, and their combined effect renders modification not only appropriate but necessary.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Michael's income has nearly doubled since entry of the 2021 order, rising from $52,000 to approximately $94,000 per year. Recalculation of support based on this income figure alone, using the applicable percentage under Civil Rule 90.3(a)(2) for two children, would yield a substantially higher support figure, well in excess of 15 percent above the current $850 per month order. The Alaska Supreme Court has recognized that a significant increase in an obligor parent's income constitutes a material change of circumstances. Peter Chapman v. Julia Chapman, 563 P.3d 1155 (Alaska 2025); Mitchell v. Mitchell, 370 P.3d 1070 (Alaska 2016).</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Marcus's income has also changed materially, having decreased from full-time to part-time earnings of approximately $28,000 annually. This reduction reflects a deliberate caregiving decision made necessary by the children's needs, not a voluntary reduction made to manipulate the support calculation. Courts consider both parents' incomes in calculating support. Civil Rule 90.3(b)(1). A meaningful reduction in the residential parent's income, occurring simultaneously with a substantial increase in the other parent's income, amplifies the disparity that the child support formula is designed to address.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Change in the Residential Schedule from Shared to Primary Physical Custody Independently Requires Recalculation.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2021 order was calculated under the shared physical custody formula found in Civil Rule 90.3(b)(1), which applies when each parent has the children for at least 30 but no more than 70 percent of the year. The Alaska Supreme Court has explained that the distinction between shared and primary physical custody classifications carries direct and significant consequences for the applicable support formula. Holmes v. Holmes, 414 P.3d 662 (Alaska 2018).</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children now reside with Marcus approximately 70 percent of the time pursuant to the parties' mutual informal agreement reached six months ago. This shift brings the residential arrangement to or beyond the threshold for primary physical custody under Civil Rule 90.3(f)(2). As the Alaska Supreme Court noted in Mitchell v. Mitchell, 370 P.3d 1070 (Alaska 2016), a parent's move and the resulting change in a child's residential schedule constitutes a changed circumstance supporting modification. Here, the change in custody percentage alone triggers a shift from the shared custody formula to the primary custody formula, producing a materially different support obligation.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should not allow the child support order to remain anchored to a shared custody formula when the children are no longer living under a shared custody arrangement. The purpose of Civil Rule 90.3 is to ensure that child support accurately tracks the actual residential and financial circumstances of the parties. Recalculation is required.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Recalculation Under Civil Rule 90.3 Supports a Substantially Higher Monthly Support Award.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90.3(a)(2) provides the framework for calculating support when one parent has primary physical custody. Under that formula, a non-custodial parent of two children pays a specified percentage of adjusted annual income. For two children, the applicable percentage is 27 percent of adjusted annual income. Shanigan v. Shanigan, 386 P.3d 1238 (Alaska 2017).</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Michael's adjusted annual income is approximately $94,000. Applying the 27 percent figure yields an annual support obligation of approximately $25,380, or $2,115 per month. Even accounting for any applicable deductions or adjustments, this figure far exceeds the current $850 per month order by a margin well above 15 percent, triggering the presumption of a material change in circumstances. Shanigan v. Shanigan, 386 P.3d 1238 (Alaska 2017).</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does not seek to penalize Michael for his professional advancement. Rather, Marcus seeks to ensure that the children's standard of living appropriately reflects Michael's current financial capacity, consistent with the purpose articulated in AS 25.27.060(a), which directs the court to carefully consider the need for support and the economic ability of each parent to pay. The existing order fails to serve either of those considerations.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Modification Is in the Best Interests of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Any modification of child support must serve the best interests of the children. AS 25.20.110(a). The children are spending the majority of their time in Marcus's home, where Marcus bears the primary costs of their daily care, food, clothing, transportation, and after-school activities. Marcus's reduced income of $28,000 per year leaves him with substantially less financial capacity to meet these obligations than the parties' combined circumstances would allow.</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Modification of child support to reflect Michael's current income and the children's current residential arrangement serves the children's interests by ensuring that the parent most directly responsible for their day-to-day care receives adequate financial support to provide for them. Flannery v. Flannery, 950 P.2d 126 (Alaska 1997); Swaney v. Granger, 297 P.3d 132 (Alaska 2013). Denying modification would require Marcus to subsidize the children's needs from a part-time income while Michael's significantly higher income goes largely unaccounted for in the existing order. That outcome would not serve the children's welfare and would be inconsistent with the framework Alaska courts have developed to ensure equitable support outcomes.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Marcus Nakamura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Find that a material change of circumstances has occurred since entry of the 2021 child support order, based on the substantial increase in Michael Nakamura's income, the decrease in Marcus Nakamura's income, and the shift in the children's residential schedule to primary physical custody with Marcus;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Recalculate child support under Civil Rule 90.3(a) using Michael Nakamura's current adjusted annual income of approximately $94,000 and consistent with the children's current residential schedule;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Enter a modified child support order reflecting the recalculated amount, to take effect as of the date of this motion or such earlier date as the Court deems appropriate and consistent with applicable law;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Grant such other and further relief as the Court deems just and proper in the interests of the minor children.</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2026-08-17T01:42:10.066Z</dcterms:created>
  <dcterms:modified xsi:type="dcterms:W3CDTF">2026-08-17T01:42:10.066Z</dcterms:modified>
</cp:coreProperties>
</file>

<file path=docProps/custom.xml><?xml version="1.0" encoding="utf-8"?>
<Properties xmlns="http://schemas.openxmlformats.org/officeDocument/2006/custom-properties" xmlns:vt="http://schemas.openxmlformats.org/officeDocument/2006/docPropsVTypes"/>
</file>