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Petrova respectfully moves this Court to modify the existing child support order entered in 2021. Since that order was entered, both parties have experienced substantial changes in their financial circumstances, and the physical custody arrangement has shifted materially from the agreed 50/50 schedule to a primary custody arrangement in which Sarah now cares for the parties' two minor children approximately 70 percent of the time. The combination of Priya Petrova's significant income increase, Sarah Petrova's involuntary reduction in earnings, and the documented change in the children's residential schedule constitutes a material change in circumstances warranting recalculation of child support under Alaska Civil Rule 90.3. The revised support obligation, calculated in accordance with the current custody arrangement and the parties' present incomes, will be substantially greater than the existing order of $850 per month. Modification is therefore necessary to serve the best interests of the children and to ensure that support reflects the financial realities of this family.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Priya Petrova and Sarah Petrova, divorced in 2021. At the time of dissolution, the court entered a child support order requiring Priya to pay $850 per month to Sarah. That order was based on Priya's annual salary of $62,000 as a licensed practical nurse and Sarah's annual income of $38,000 as a retail supervisor. The parties shared physical custody of their two minor children on an equal, 50/50 basis, and the child support amount was calculated accordingly under the shared physical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original order, Priya accepted a new position as a registered nurse. Her current annual income is approximately $94,000, representing an increase of approximately $32,000 per year over her income at the time of the original order. This career advancement and resulting income increase occurred after the 2021 dissolution judgment.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by contrast, was laid off from her retail supervisor position in early 2024. She has since obtained part-time employment earning approximately $24,000 annually, a reduction of $14,000 per year from her income at the time of the original order. This reduction was not voluntary; it resulted from an involuntary job loss.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January 2024, the physical custody arrangement shifted informally. Both children now reside primarily with Sarah, who provides care and supervision for the children approximately 70 percent of the time. Priya has physical custody of the children for the remaining 30 percent of the time. This change in the residential schedule has not yet been formalized by court order, but it represents a consistent and ongoing departure from the 50/50 arrangement that formed the basis of the 2021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support order of $850 per month was calculated under the shared custody formula of Civil Rule 90.3(b), reflecting the parties' incomes and the equal custody split at the time. Given Priya's substantially increased income, Sarah's substantially decreased income, and the shift to primary custody in favor of Sarah, the support amount calculated under the applicable guidelines today would be materially higher than the existing order. Specifically, applying Civil Rule 90.3(a) to Priya's current adjusted income of approximately $94,000 at the two-child percentage would yield a monthly support figure well in excess of 15 percent greater than the current order of $850.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final child support order may be modified upon a showing of a material change in circumstances. Under AS 25.24.170(a), the court has authority, upon the motion of either party, to set aside, alter, or modify any portion of a judgment that provides for the maintenance of either party or for the support of minor children. That authority is broad and is designed to ensure that support obligations remain responsive to the actual circumstances of the parties and the children over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will be presumed when support as calculated under the applicable guidelines is more than 15 percent greater or less than the outstanding support order. This principle has been consistently applied by Alaska courts, including in Bunn v. House, 934 P.2d 753 (Alaska 1997), which recognized that shifts in a parent's income level constitute paradigmatic examples of material changes in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 shift in the custodial arrangement from shared to primary physical custody changes the applicable formula for calculating support entirely. Where, as here, one parent now has primary physical custody as defined under Civil Rule 90.3, the calculation transitions from the shared custody formula of Civil Rule 90.3(b) to the primary custody formula of Civil Rule 90.3(a). The Alaska Supreme Court recognized in Holmes v. Holmes, 414 P.3d 662 (Alaska 2018), that the distinction between primary and shared physical custody is foundational to the support calculation, and that the applicable formula is determined by the percentage of time each parent exercises physical custody as specified in the operative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court's authority to modify a custody-related support order is further grounded in AS 25.20.110(a), which provides that a custody arrangement may be modified when a change in circumstances requires it and the modification serves the best interests of the child. When the physical custody arrangement changes in a manner that affects the child support calculation, the court has both the authority and the obligation to recalculate support to reflect that new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Current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was entered in 2021 based on specific facts: Priya's income of $62,000, Sarah's income of $38,000, and an equal 50/50 custody division. All three of these foundational facts have changed substantially. Any one of these changes, standing alone, might suffice to establish a material change in circumstances. Together, they compel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Priya's Income Has Increased Substantially.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annual income has increased from $62,000 to approximately $94,000, an increase of roughly 52 percent over her income at the time of the original order. This increase is not speculative or temporary; it reflects a career advancement to a higher-licensed nursing position. Alaska courts have consistently held that a significant increase in a non-custodial parent's income constitutes a material change in circumstances. In Bunn v. House, 934 P.2d 753 (Alaska 1997), the Alaska Supreme Court confirmed that changes in a parent's income level are among the most recognized bases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court applies the primary custody formula of Civil Rule 90.3(a) to Priya's current adjusted annual income, the resulting obligation will be calculated by multiplying that adjusted income by 27 percent, the applicable percentage for two children. That calculation alone will produce a support figure substantially greater than the current order of $850 per month, triggering the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Peter Chapman v. Julia Chapman, 563 P.3d 1155 (Alaska 2025) further confirms that a court scrutinizes a parent's actual income, including the full picture of earnings reflected in tax and wage records, when determining the appropriate support obligation. The court must base the support calculation on an accurate and current assessment of Priya's income rather than on the outdated figure used in 2021.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under Civil Rule 90.3(a)(4) to consider whether a parent is voluntarily and unreasonably underemployed. Although Sarah does not allege that Priya is underemployed, the same analytical framework that examines income capacity underscores the importance of using current, accurate income figures. Here, Priya's current earnings of approximately $94,000 are well-documented and must serve as the baseline for the modified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Sarah's Income Has Decreased Substantially.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involuntary job loss and resulting reduction in annual income from $38,000 to $24,000 further supports modification. Under Civil Rule 90.3(a)(1), the adjusted annual income of both parents is relevant to the support calculation, and where a custodial parent's income has declined due to factors outside her control, the resulting disparity in the parties' financial positions strengthens the case for upward adjustment of the non-custodial parent's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Mitchell v. Mitchell, 370 P.3d 1070 (Alaska 2016), the Alaska Supreme Court confirmed that a trial court's child support determination is presumptively appropriate when it follows the formula prescribed by Civil Rule 90.3. Conversely, where the figures underlying an existing order no longer reflect the parties' actual circumstances, continued enforcement of that order without modification is inconsistent with the framework Civil Rule 90.3 is designed to implement.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Priya's increased income and Sarah's decreased income means the financial gap between the parties is substantially wider today than it was in 2021. This widening disparity, paired with Sarah's status as the now-primary residential parent bearing the majority of day-to-day child-rearing costs, creates a compelling case for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Physical Custody Arrangement Has Shifted from Shared to Primary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Perhaps the most structurally significant change is the shift in the physical custody arrangement. In 2021, the parties exercised equal, 50/50 custody, and child support was calculated under the shared physical custody formula set forth in Civil Rule 90.3(b). Since January 2024, both children have resided primarily with Sarah, who now provides care approximately 70 percent of the time. Priya exercises physical custody for the remaining 30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90.3(b)(1)(E), a child support order must state that failure to exercise sufficient physical custody to qualify for shared physical custody is grounds for modification of the support order. The rule defines shared physical custody as the children residing with a parent for at least 30, but no more than 70, percent of the year. When Priya's share of custody falls to 30 percent and Sarah's correspondingly rises to 70 percent, the arrangement crosses the threshold from shared custody into primary custody held by Sarah, and the applicable calculation formula shifts from Civil Rule 90.3(b) to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Holmes v. Holmes, 414 P.3d 662 (Alaska 2018) confirms that the distinction between shared and primary physical custody is central to determining the correct calculation method under Civil Rule 90.3, and that the type of custody arrangement directly governs which formula applies. Under those principles, the court must now apply Civil Rule 90.3(a) rather than Civil Rule 90.3(b) to calculate Priya's support obligation, using her adjusted annual income and the 27 percent multiplier applicable to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Applicable Child Support Formula Requires Recalculation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Sarah now has primary physical custody of the two children for approximately 70 percent of the year, Civil Rule 90.3(a) governs the support calculation. That rule provides that a child support award in a case in which one parent is awarded primary physical custody will be calculated as an amount equal to the adjusted annual income of the non-custodial parent multiplied by a percentage specified in the rule. For two children, that percentage is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gross annual income of approximately $94,000 must be reduced by mandatory deductions under Civil Rule 90.3(a)(1)(A) to arrive at her adjusted annual income. These deductions include federal and state income taxes, Social Security and Medicare taxes, and any other applicable mandatory deductions. Permissible voluntary deductions, including voluntary retirement contributions not exceeding 7.5 percent of total income, may also be applied, as well as health insurance premiums paid by Priya for herself alone, subject to the 10 percent income cap set forth in Civil Rule 90.3(a)(1)(F). After applying these deductions, the court will multiply the resulting adjusted annual income figure by 0.27 to arrive at the annual support obligation, which will then be divided into equal monthly payments.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using a conservative estimate of Priya's adjusted annual income, a 27 percent multiplier applied to income in the range of $94,000 produces an annual obligation substantially exceeding $850 per month, which represents the current monthly order. This calculation, once performed with Priya's verified income documentation, will confirm not only that a material change exists but that the revised support amount is warranted by the plain application of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Mitchell v. Mitchell, 370 P.3d 1070 (Alaska 2016) confirmed that a trial court does not abuse its discretion when it calculates child support in strict conformity with Civil Rule 90.3 using the appropriate income baseline. This Court should do the same here, recalculating Priya's obligation based on her current verified income and the primary custody arrangement now in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Formalize the Change in Physical Custody Concurrently with the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shift in the custody arrangement since January 2024 must be addressed alongside the support modification. Under AS 25.20.110(a), the court may modify an existing custody arrangement upon a finding that a change in circumstances requires the modification and that modification is in the best interests of the children. The consistent, year-long practice of the children residing primarily with Sarah, with Priya exercising custody for approximately 30 percent of the time, reflects a genuine, sustained change in the residential arrangements for both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Kelly v. Joseph, 46 P.3d 1014 (Alaska 2002) recognized that a change in the actual custody arrangement, sufficient to shift the applicable formula under Civil Rule 90.3 from one subsection to another, itself constitutes a material change in circumstances warranting modification of the child support order. The same reasoning applies here. The departure from the 50/50 arrangement is not temporary or incidental; it has persisted for over a year and represents the current lived reality of the children's daily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Formalizing the primary custody arrangement in favor of Sarah will also provide clarity and stability for both parties going forward and will ensure that any future support calculations are grounded in an accurate custody framework. The best interests of the children are served by an order that reflects where they actually reside and who bears the primary responsibility for their day-to-day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Modification Should Be Retroactive to the Date of the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respectfully requests that any modified support order be made effective as of the date this motion was filed. Alaska courts have discretion to make modifications retroactive to the date of filing when the petitioning party has demonstrated a material change in circumstances as of that date. Koller v. Reft, 71 P.3d 800 (Alaska 2003) recognized the trial court's broad discretion in determining child support obligations, including the baseline income figures and the period to which any modified obligation applies. Because the material changes in circumstances here, including both the income shifts and the custody change, were in effect well before the filing of this motion, retroactivity to the filing date is appropriate and consistent with the purpose of the support guidelines.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Petrova has established a material change in circumstances warranting modification of the existing child support order. Priya Petrova's income has increased from $62,000 to approximately $94,000 per year. Sarah's income has decreased from $38,000 to $24,000 per year due to involuntary job loss. The children now reside primarily with Sarah for approximately 70 percent of the time, shifting the applicable support formula from the shared custody calculation under Civil Rule 90.3(b) to the primary custody calculation under Civil Rule 90.3(a). Under that formula, Priya's support obligation, calculated at 27 percent of her adjusted annual income, will be substantially greater than the current order of $850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Sarah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Formalize the current physical custody arrangement, recognizing Sarah as the primary residential parent for approximately 70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child support pursuant to Civil Rule 90.3(a) based on the parties' current verified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modified child support order reflecting the newly calculated obligation;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Make the modified order retroactive to the date of this motion.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2026-08-17T01:46:28.615Z</dcterms:created>
  <dcterms:modified xsi:type="dcterms:W3CDTF">2026-08-17T01:46:28.615Z</dcterms:modified>
</cp:coreProperties>
</file>

<file path=docProps/custom.xml><?xml version="1.0" encoding="utf-8"?>
<Properties xmlns="http://schemas.openxmlformats.org/officeDocument/2006/custom-properties" xmlns:vt="http://schemas.openxmlformats.org/officeDocument/2006/docPropsVTypes"/>
</file>