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respectfully petitions this Court for an upward modification of the existing child support order. The current order, entered approximately two years ago, requires respondent Maria Okafor to pay $650 per month in child support. That order was based on income figures that no longer reflect the parties' financial circumstances. Since the entry of the original order, Maria has obtained substantially more lucrative employment, increasing her annual salary from approximately $38,000 to $67,000. Elena's income has remained essentially unchanged. The resulting disparity between the income figures underlying the current order and those that would apply under a proper recalculation under Civil Rule 90.3 is substantial, well exceeding the fifteen percent threshold that presumptively establishes a material change in circumstances. Modification is therefore both legally warranted and necessary to ensure that the children's support reflects their parents' actual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and Maria Okafor are the parents of two minor children. The parties currently share physical custody pursuant to a written custody schedule under which the children reside with Elena approximately 210 overnights per calendar year and with Maria approximately 155 overnights per calendar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years ago, this Court entered the operative child support order requiring Maria to pay Elena $650 per month in child support. At the time of that order, Elena earned approximately $42,000 annually as a dental hygienist, and Maria earned approximately $38,000 annually as a retail manager.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that order, Maria has accepted a salaried position as a hospital supply chain coordinator. Her current annual salary is $67,000, representing an increase of approximately $29,000 per year, or roughly seventy-six percent above her income at the time of the original order. Elena's income, by contrast, has remained essentially unchanged and currently stands at approximately $44,000 per year as a dental hygienist.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the custody schedule in place, the children reside with Elena for approximately 210 overnights per year and with Maria for approximately 155 overnights per year. Because 210 overnights represents approximately 57.5 percent of the calendar year and 155 overnights represents approximately 42.5 percent of the year, the current arrangement constitutes shared physical custody within the meaning of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recalculation of child support under Civil Rule 90.3 using the parties' current income figures and the existing custody schedule yields a monthly support obligation for Maria that is substantially greater than $650, and the difference between the current order and the recalculated amount exceeds the fifteen percent threshold prescribed by the rule. Modification is therefore warranted.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a court may modify a child support judgment upon motion of either party. For a motion to modify child support, the moving party must demonstrate a material change in circumstances. AS 25.24.170(b) provides that a material change in circumstances exists when recalculation under the applicable guidelines yields a support amount that differs from the existing order by the threshold amount prescribed by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 governs the calculation of child support in Alaska. The rule establishes a formula based on each parent's adjusted annual income and the custody arrangement in place. Where parents share physical custody, the support obligation is determined by reference to both parents' incomes and the percentage of time each parent has physical custody of the children. A material change in circumstances triggering modification is presumed when the support amount as calculated under the rule is more than fifteen percent greater or less than the outstanding support order.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significant change in a parent's income constitutes a material change in circumstances supporting modification of child support. Holmes v. Holmes, 414 P.3d 662 (Alaska 2018); Swaney v. Granger, 297 P.3d 132 (Alaska 2013). The Court has also recognized that the adoption or significant amendment of child support guidelines constitutes a material change in circumstances, underscoring the importance of ensuring that support orders remain tethered to current guidelines and actual incomes. Charlesworth v. State, Child Support Enforcement Division Ex Rel. Charlesworth, 779 P.2d 792 (Alaska 1989); AS 25.24.170(b).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25.20.110(a) provides that a child support or custody award may be modified upon a finding that a change in circumstances requires modification and that modification is in the best interests of the child. Courts have held that modification is improper in the absence of a material change in circumstances. Bunn v. House, 934 P.2d 753 (Alaska 1997). Here, such a change plainly exists.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MARIA'S SUBSTANTIALLY INCREASED INCOME CONSTITUTES A MATERIAL CHANGE IN CIRCUMSTANCES WARRANTING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of a child support order is a material change in circumstances. Under Civil Rule 90.3, a material change in circumstances is presumed when the support amount recalculated under the rule differs from the outstanding order by more than fifteen percent. Shanigan v. Shanigan, 386 P.3d 1238 (Alaska 2017). That presumption is readily satisfied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existing order, Maria earned approximately $38,000 per year. She now earns $67,000 per year, an increase of approximately seventy-six percent. Elena's income has remained essentially unchanged. Because Maria's income has increased so dramatically, a recalculation of support under the applicable guidelines necessarily yields a monthly obligation substantially higher than the current $650 order, and the percentage difference between the current order and the recalculated amount exceeds fifteen percent. The presumption of a material change in circumstances therefore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significant income change, particularly one of this magnitude, supports modification. In Holmes v. Holmes, 414 P.3d 662 (Alaska 2018), the Court considered a modification motion premised on a change in employment and resulting change in a party's pay, reinforcing the principle that income fluctuations bearing on the Rule 90.3 calculation are central to the modification analysis. Similarly, in Peter Chapman v. Julia Chapman, 563 P.3d 1155 (Alaska 2025), the Court addressed the proper determination of a parent's income for Rule 90.3 purposes, affirming that support obligations must reflect a parent's actual earnings and that significant discrepancies between income used in a prior order and current income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income increase was not temporary or speculative. She has accepted a permanent salaried position paying $67,000 per year. This is precisely the kind of lasting, substantial change in a parent's financial circumstances that courts have recognized as grounds for upward modification. Allowing the current order to remain in place would leave the children without the support to which they are entitled under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RECALCULATION UNDER CIVIL RULE 90.3 REFLECTS A SUBSTANTIALLY HIGHER SUPPORT OBLIGATION CONSISTENT WITH THE SHARED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the formula for calculating child support when one parent has primary physical custody, defined as custody for more than seventy percent of the year. Here, the custody arrangement places the children with Elena for approximately 210 overnights per year, which represents approximately 57.5 percent of the year, and with Maria for approximately 155 overnights per year, or approximately 42.5 percent of the year. Because each party has the children between thirty and seventy percent of the year, this arrangement constitutes shared physical custody under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therefore apply the shared physical custody formula under Civil Rule 90.3, which accounts for both parents' incomes and the respective percentages of time each parent has physical custody. Under that formula, the support calculation begins with each parent's adjusted annual income as defined in Civil Rule 90.3(a)(1), which is total income from all sources reduced by mandatory deductions, including federal, state, and local income taxes, Social Security tax, Medicare tax, mandatory union dues, and mandatory retirement contributions, among other enumerated items. Civil Rule 90.3(a)(1)(A).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guideline percentages applicable to two children, Civil Rule 90.3(a)(2)(B) provides that the relevant percentage is twenty-seven percent (.27). The Court calculates each parent's theoretical support obligation as if the other parent were the sole custodian, then accounts for the actual time-share to arrive at the net obligation. Because Maria's current adjusted annual income substantially exceeds the income figure on which the existing $650 monthly order is based, a proper recalculation will yield a meaningfully higher monthly obligation, one that accurately reflects her current earning capacity and the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Swaney v. Granger, 297 P.3d 132 (Alaska 2013), emphasized that child support determinations must conform to the analysis specified in Rule 90.3(a). Deviation from the guideline formula is not appropriate absent specific findings of fact justifying departure. Richardson v. Kohlin, 175 P.3d 43 (Alaska 2008). Elena does not seek any deviation from the guidelines. She seeks only that the Court apply the formula as written to the parties' actual current incomes and the existing custody arrangement, which will result in a higher monthly support obligation for Maria.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a child support order must serve the best interests of the children. AS 25.20.110(a). There can be no question that aligning child support with the actual income of the obligor parent serves the children's best interests. Child support is intended to ensure that children benefit from both parents' financial resources. AS 25.27.060(a) directs courts to carefully consider the need for support, the ability of both parents to meet support obligations, and the economic ability of the parents to pay. Maria's capacity to contribute to the children's financial well-being has increased substantially since the original order was entered. Permitting her to continue paying support based on an income figure that is now nearly thirty thousand dollars per year below her actual earnings would deprive the children of resources to which they are legally entitled.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reside with Elena a majority of the time, meaning that Elena bears a correspondingly greater share of the day-to-day costs of raising them, including food, clothing, transportation, educational expenses, and healthcare. A support award reflecting Maria's current income will more equitably distribute those costs between the parents in proportion to their respective financial capacities, consistent with the purpose and structure of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MODIFICATION SHOULD BE MADE EFFECTIVE AS OF THE DATE OF ELENA'S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Alaska law, retroactive modification of child support is generally prohibited. Swaney v. Granger, 297 P.3d 132 (Alaska 2013). However, a modification of a prospective support obligation may be ordered, and the modified obligation typically takes effect as of the date the petition for modification is filed. AS 25.27.060(d) provides that an order for prospective child support may be modified or revoked under AS 25.24.170. Elena respectfully requests that the Court order the modified support amount to take effect as of the date of this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INCOME WITHHOLDING IS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ensure consistent and timely payment of the modified support obligation, Elena respectfully requests that the Court include an income withholding order in any modified support order. AS 25.27.062(a) requires that a support order contain an income withholding order, and AS 25.27.062(a)(2) provides that where a support order is not being enforced by the agency and was issued on or after July 8, 1994, the income withholding order must provide for immediate income withholding. An income withholding order will protect the children's interest in receiving consistent support and will relieve both parties of administrative burdens associated with voluntary payment.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Okafor respectfully requests that this Court find a material change in circumstances, recalculate child support in accordance with Civil Rule 90.3 using the parties' current incomes and the existing custody arrangement, and enter an upward modification of the child support order consistent with that recalculation. Elena further requests that the Court include an income withholding order in the modified support order, that the modification be made effective as of the date of this petition, and that the Court grant such other relief as is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2026-08-17T01:51:24.488Z</dcterms:created>
  <dcterms:modified xsi:type="dcterms:W3CDTF">2026-08-17T01:51:24.488Z</dcterms:modified>
</cp:coreProperties>
</file>

<file path=docProps/custom.xml><?xml version="1.0" encoding="utf-8"?>
<Properties xmlns="http://schemas.openxmlformats.org/officeDocument/2006/custom-properties" xmlns:vt="http://schemas.openxmlformats.org/officeDocument/2006/docPropsVTypes"/>
</file>