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(doc-0169)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Okafor respectfully petitions this Court to modify the existing child support order entered in 2021. Since the entry of that order, both parties have experienced significant changes in their financial circumstances, and the parenting schedule has been materially altered. Tomas Okafor's income has increased substantially, Sarah Okafor's income has decreased due to a documented medical condition, and the number of overnights the children spend with Tomas has dropped from the previously ordered 110 to approximately 80 per year. Each of these developments, individually and collectively, constitutes a material change in circumstances warranting an upward modification of child support. Recalculation under Civil Rule 918(a) will result in a monthly obligation more than 15 percent greater than the current order of $850, confirming that modification is appropriate and necessary to serve the financial well-being of the parties' two minor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Tomas Okafor and Sarah Okafor, were divorced in 2021. At the time of the divorce decree, the court entered a child support order requiring Tomas to pay $850 per month. That figure was based on Tomas's annual income of $62,000 as a construction foreman and Sarah's annual income of $24,000 as a part-time retail associate. The court awarded the parties joint legal custody, with Sarah holding primary physical custody of their two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entry of the 2021 order, the following material changes have occurred. First, Tomas accepted a new position as a project manager. His current annual gross income is $94,000, representing an increase of $32,000 per year over the income figure used to set the original order. Second, Sarah was diagnosed with a documented medical condition that required her to reduce her working hours. Her current annual income is approximately $16,000, a decrease of $8,000 from the $24,000 used at the time of the original order. Third, Tomas has remarried and relocated to a residence approximately 45 miles from the children's school. As a result, the parenting schedule has been modified in practice, and the children now spend approximately 80 overnights per year with Tomas, compared to the 110 overnights contemplated by the prior order. Under Civil Rule 90.3(f)(2), a parent has primary physical custody of children if the children reside with that parent for a period specified in the custody order of less than 30 percent of the year. Eighty overnights represents approximately 22 percent of the year, placing Tomas firmly within the primary custody formula under Civil Rule 90.3(a) rather than any shared-custody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recalculation of child support under Civil Rule 90.3(a) using the parties' current incomes produces a monthly obligation substantially greater than the existing $850 order, exceeding the 15 percent threshold that triggers a presumption of material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child support order may be modified upon a showing that there has been a material change in circumstances and that modification is in the best interests of the children. AS 25.20.110(a). Additionally, AS 25.24.170(a) provides the court with broad authority to set aside, alter, or modify so much of a judgment as may provide for the maintenance of a party or for the care and education of minor children. For purposes of a motion to modify child support, AS 25.24.170(b) confirms that a significant amendment to guidelines for determining support constitutes a material change in circumstances when the guidelines are relevant to the motion.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 governs child support calculations in cases where one parent holds primary physical custody. Under that rule, the support award is calculated as an amount equal to the adjusted annual income of the non-custodial parent multiplied by a percentage tied to the number of children. Civil Rule 90.3(a)(2)(B) provides that the applicable percentage for two children is 27 percent (.27) of the non-custodial parent's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material change of circumstances is presumed when support as calculated under Civil Rule 90.3 is more than 15 percent greater or less than the outstanding support order. The Alaska Supreme Court has affirmed this principle on multiple occasions. In Shanigan v. Shanigan, 386 P.3d 1238 (Alaska 2017), the court applied the rule that a petitioning party must demonstrate a material change of circumstances, which is presumed when the recalculated support amount differs by more than 15 percent from the outstanding order. In Holmes v. Holmes, 414 P.3d 662 (Alaska 2018), the court similarly examined how changes in income and parenting time affect both the applicable formula and the resulting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further held that a non-custodial parent who experiences an increase in income cannot avoid paying additional support by arguing that the children's current needs are already being met. Berkbigler v. Berkbigler, 787 P.2d 329 (Alaska 1996). The guidelines under Civil Rule 90.3 presume that the non-custodial parent's fair share of the children's support is the amount produced by the formula itself. Id. Modification is appropriate and necessary when the formula, applied to current incomes, yields a result materially different from the existing order. Charlesworth v. State, Child Support Enforcement Division Ex Rel. Charlesworth, 779 P.2d 792 (Alaska 1989); Bunn v. House, 934 P.2d 753 (Alaska 1997).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COMBINED CHANGES IN THE PARTIES' INCOMES CONSTITUTE A MATERIAL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entry of the 2021 support order, Tomas Okafor's annual income has increased from $62,000 to $94,000, and Sarah Okafor's annual income has decreased from $24,000 to approximately $16,000 due to a documented medical condition requiring her to reduce her working hours. Either of these changes, standing alone, would support a finding of material change in circumstances. Taken together, they compel it.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90.3(a)(1) defines adjusted annual income as the parent's total income from all sources minus certain mandatory and permissible deductions. The rule requires that the non-custodial parent's adjusted annual income be multiplied by the applicable percentage, in this case 27 percent for two children under Civil Rule 90.3(a)(2)(B). Applying this formula to Tomas's current gross annual income of $94,000, and accounting for applicable deductions under Civil Rule 90.3(a)(1)(A), yields a monthly support obligation substantially in excess of the current $850 order, easily clearing the 15 percent threshold presumed to constitute a material change in circumstances under the rule. The Alaska Supreme Court confirmed in Shanigan v. Shanigan, 386 P.3d 1238 (Alaska 2017), that this 15 percent differential gives rise to a presumption of material change, shifting the burden to the opposing party to overcome that presumption.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in Berkbigler v. Berkbigler, 921 P.2d 628 (Alaska 1996), held that an obligor parent who experiences an increase in income cannot avoid paying additional support merely by showing that the children's needs are being met by an existing support award. Tomas may argue that the children are adequately supported under the current order. That argument fails under Alaska law. The Civil Rule 90.3 guidelines presume that the appropriate measure of a non-custodial parent's contribution is the amount produced by the formula when applied to his or her current income. Any departure from that formula requires an extraordinary showing that Tomas cannot make on these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Sarah's reduction in income is equally significant. Her documented medical condition, which forced a reduction in working hours, is not a voluntary choice that would justify imputing higher income to her under Civil Rule 90.3(a)(4). Civil Rule 90.3(a)(4)(E) explicitly provides that a determination of potential income may not be made for a parent who is physically or mentally incapacitated under all circumstances. Sarah's medical diagnosis falls squarely within this protection. Accordingly, her current income of approximately $16,000 per year must be used as the baseline for any calculation relevant to the parties' respective financial circumstances. The reduction in Sarah's income increases the children's dependence on Tomas's contribution and further demonstrates that the existing order no longer reflects the financial realities of the family.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in Peter Chapman v. Julia Chapman, 563 P.3d 1155 (Alaska 2025), recognized that a significant discrepancy between a parent's income at the time of the original order and current income, as revealed through tax returns and other financial documentation, supports recalculation of child support under Rule 90.3 and may justify imputation of income where a parent has voluntarily reduced earnings. Here, however, the situation is the reverse: Tomas has increased his earnings voluntarily and substantially, while Sarah's reduction is involuntary and medically necessitated. The equities strongly favor upward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REDUCTION IN TOMAS'S PARENTING TIME PROVIDES AN INDEPENDENT BASIS FOR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the changes in income, the actual parenting schedule has changed materially since the 2021 order. Tomas now exercises approximately 80 overnights per year with the children, compared to the 110 overnights previously ordered. This reduction is attributable to Tomas's decision to remarry and relocate approximately 45 miles from the children's school.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noted in Section II, 80 overnights per year represents approximately 22 percent of the year. Under Civil Rule 90.3(f)(2), primary physical custody is defined as the children residing with a parent for a period specified in the custody order of less than 30 percent of the year. This means Tomas is unambiguously a non-custodial parent under the Civil Rule 90.3(a) framework. The prior order may have been calculated, at least in part, with reference to a higher number of overnights. To the extent any credit or adjustment was built into the prior order based on Tomas having 110 overnights per year, that adjustment is no longer appropriate. The children now spend substantially more of their time in Sarah's care, which increases her costs for food, clothing, transportation, school-related expenses, and other necessities.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a change in custodial or visitation patterns may constitute a material change in circumstances sufficient to warrant modification of child support. Bunn v. House, 934 P.2d 753 (Alaska 1997). The reduction from 110 to 80 overnights is not a trivial scheduling adjustment. It represents a 27 percent reduction in the time the children spend in Tomas's home, with a corresponding increase in Sarah's day-to-day financial obligations. This shift in the parenting schedule, considered alongside the changes in both parties' incomes, strongly supports an upward modification of the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AS 25.20.110(b) directs the court to consider the past history of the parents with respect to compliance with child support obligations when making any custody-related determination. While Sarah does not allege willful nonpayment, the statutory framework confirms that the court's analysis must be holistic, considering how all relevant financial and parenting factors interact to serve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MODIFICATION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25.20.110(a) requires not only a finding of changed circumstances but also a determination that modification is in the best interests of the children. This requirement is satisfied here. The children are living primarily with Sarah, whose income has decreased due to a medical condition outside her control. Tomas's income has increased substantially. The existing support order of $850 per month was calculated based on incomes and a parenting schedule that no longer reflect the parties' current situation. Allowing the outdated order to remain in effect deprives the children of financial support commensurate with their non-custodial parent's current ability to pay.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the Civil Rule 90.3 guidelines are designed to approximate what a non-custodial parent would have contributed to the children's expenses had the family remained intact. Berkbigler v. Berkbigler, 921 P.2d 628 (Alaska 1996). Tomas now earns $94,000 per year. The children should benefit from that income in a manner proportionate to what the Rule 90.3 formula provides. An upward modification to approximately $2,115 per month, which is 27 percent of Tomas's gross annual income of $94,000 divided by 12, before applicable deductions are applied, would reflect the current financial realities and serve the children's best interests. The precise calculation should be made by the court following submission of current financial documentation from both parties, including verification of all deductions permitted under Civil Rule 90.3(a)(1).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facilitate accurate and efficient presentation of the financial information underlying this petition, Sarah intends to submit a summary chart of income documentation pursuant to Alaska R. Evid. 1006, given the volume of financial records involved. All underlying originals and duplicates will be made available to Tomas for examination or copying at a reasonable time and place.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INCOME WITHHOLDING SHOULD BE ORDERED TO ENSURE COMPLIANCE WITH THE MODIFIED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Upon entry of a modified support order, this Court should also enter an income withholding order pursuant to AS 25.27.062. AS 25.27.062(a) provides that a court order providing for support must contain an income withholding order, and AS 25.27.062(a)(2) directs that the income withholding order provide for immediate income withholding for support orders issued or modified on or after July 8, 1994. Because any modified order entered in this proceeding will be issued after that date, immediate income withholding is mandatory absent a specific exception that does not apply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Income withholding will ensure consistent delivery of the modified support amount to Sarah for the benefit of the children, reduce the risk of arrearages, and eliminate the need for future enforcement proceedings. The definition of "arrearage" under AS 25.27.900(2) includes any debt that is past due and equal to at least one monthly obligation under the support order. Immediate withholding prevents the accumulation of such arrearages and protects the financial stability of the children's household.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the court should reexamine and, if appropriate, modify the medical support provisions of the order consistent with AS 25.27.060(c), which requires the court to issue a medical support order requiring health care insurance coverage for the children if such coverage is available to either parent at a reasonable cost.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Sarah Okafor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a material change in circumstances has occurred based on the substantial increase in Tomas Okafor's annual income, the medically necessitated decrease in Sarah Okafor's annual income, and the reduction in Tomas's parenting time from 110 to approximately 80 overnights per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Recalculate child support under Civil Rule 90.3(a) using the parties' current incomes and the current parenting schedule, resulting in an upward modification of the monthly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Enter an income withholding order pursuant to AS 25.27.062 requiring immediate withholding of the modified support amount from Tomas's wages;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Confirm or modify the medical support provisions of the existing order in accordance with AS 25.27.060(c);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and further relief as the Court deems just and proper in the best interests of the parties' minor children.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2026-08-17T01:52:44.740Z</dcterms:created>
  <dcterms:modified xsi:type="dcterms:W3CDTF">2026-08-17T01:52:44.740Z</dcterms:modified>
</cp:coreProperties>
</file>

<file path=docProps/custom.xml><?xml version="1.0" encoding="utf-8"?>
<Properties xmlns="http://schemas.openxmlformats.org/officeDocument/2006/custom-properties" xmlns:vt="http://schemas.openxmlformats.org/officeDocument/2006/docPropsVTypes"/>
</file>