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Whitfield respectfully petitions this Court to modify the existing child support order entered in 2021. Since that order was entered, substantial changes in circumstances have occurred warranting upward modification: Marcus Whitfield's annual income has increased from $52,000 to $78,000; Sarah Whitfield's annual income has decreased from $24,000 to approximately $18,000 due to caregiving demands imposed by their younger child's chronic medical diagnosis; and the parties' actual custody arrangement has shifted from a shared physical custody schedule to one in which the two minor children reside primarily with Sarah, with Marcus exercising parenting time only every other weekend and one weeknight per week. No formal order has been entered reflecting this de facto change in custody. The existing support order of $850 per month no longer reflects the children's actual living arrangements, the parties' current financial circumstances, or the increased medical expenses generated by the younger child's ongoing treatment. Modification is both required and appropriate under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and Sarah Whitfield divorced in 2021. At the time of the divorce decree, the court entered a child support order requiring Marcus to pay $850 per month. That figure was calculated based on Marcus's annual income of $52,000 as a warehouse supervisor, Sarah's part-time annual income of $24,000, and a shared physical custody arrangement in which the two minor children resided with each parent on a roughly equal basis.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that order, Marcus has accepted a new position as a logistics manager. He now earns $78,000 per year, representing an increase of $26,000 annually from the income figure used to calculate the existing order. Sarah, by contrast, has reduced her working hours in order to care for the parties' younger child, who was recently diagnosed with a chronic medical condition requiring ongoing treatment. As a result, Sarah's current annual income is approximately $18,000, a reduction of approximately $6,000 from the income figure used in the original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the parties informally restructured their parenting arrangement last year. The children now reside primarily with Sarah. Marcus exercises parenting time on alternating weekends and one weeknight per week. Under Alaska Rule of Civil Procedure 90.3, this parenting schedule does not constitute shared physical custody because Marcus's parenting time falls well below thirty percent of the year. Despite this material change in the residential arrangement, no formal modification of the custody order has been entered by this Court. The children's primary residence with Sarah, combined with the younger child's medical needs, has substantially increased the costs Sarah bears on a day-to-day basis for the children's care, protection, and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child support order upon a showing of a material change in circumstances. AS 25.24.170(a) provides that, after judgment, the court may, upon the motion of either party, set aside, alter, or modify so much of a judgment as provides for the maintenance of either party or the care, nurture, and education of minor children of the marriage. AS 25.24.170(b) further provides that a modification of child support may be made where there is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Likewise, AS 25.20.110(a) provides that an award of custody or visitation may be modified where the court determines that a change in circumstances requires the modification and the modification is in the best interests of the child. Where a parent opposes such a modification and it is nonetheless granted, the court must enter on the record its reasons for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 support formula applicable where one parent has primary physical custody is found in Civil Rule 979(a), which provides that a child support award shall be calculated as an amount equal to the adjusted annual income of the non-custodial parent multiplied by the applicable percentage, which for two children is twenty-seven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Rule 90.3, the court may also calculate child support based on a determination of the potential income of a parent who voluntarily and unreasonably is unemployed or underemployed. Civil Rule 917(a)(4). However, that provision explicitly excepts from its reach a parent who is caring for a child under two years of age to whom the parents owe a joint legal responsibility. Civil Rule 90.3(a)(4)(E).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material change of circumstances is presumed when the support amount as recalculated under Rule 90.3 differs from the existing order by more than fifteen percent. Shanigan v. Shanigan, 386 P.3d 1238 (Alaska 2017). A court may not retroactively modify a child support obligation, and any modification takes effect prospectively from the date of the motion. Swaney v. Granger, 297 P.3d 132 (Alaska 2013).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Warranting Modification of the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Whitfield's motion to modify is firmly grounded in multiple, independent, and concurrent changes in circumstances, any one of which would suffice to justify modification, and all of which together compel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Marcus Whitfield's income has increased by $26,000 per year since the existing order was entered. His current annual salary of $78,000 as a logistics manager is substantially higher than the $52,000 figure on which the original $850 monthly support obligation was calculated. The Alaska Supreme Court has recognized that a significant increase in the obligor parent's income constitutes a material change in circumstances justifying modification of child support. Peter Chapman v. Julia Chapman, 563 P.3d 1155 (Alaska 2025). Under the Civil Rule 90.3(a) formula for primary physical custody with two children, Marcus's adjusted annual income of $78,000, subject to applicable deductions, multiplied by twenty-seven percent yields a monthly support figure substantially greater than the existing $850 order. Because the recalculated support under Rule 90.3 would differ from the existing order by well in excess of fifteen percent, a material change of circumstances is presumed as a matter of law. Shanigan v. Shanigan, 386 P.3d 1238 (Alaska 2017).</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Sarah's income has decreased from $24,000 to approximately $18,000 per year. This reduction is not a voluntary or unreasonable choice. It is a direct and necessary response to the medical needs of the parties' younger child, who requires additional care and supervision as a result of a recently diagnosed chronic condition. The Alaska Supreme Court has recognized that changed financial circumstances of the custodial parent are relevant to the child support calculation under Rule 90.3. Holmes v. Holmes, 414 P.3d 662 (Alaska 2018). Moreover, the court may not impute income to a parent who has reduced earnings in order to care for a child with special needs. Attributing potential income to Sarah under these circumstances would be inconsistent with the child-welfare purposes underlying Rule 90.3 and with the equitable considerations the Alaska Supreme Court has directed courts to examine. See Civil Rule 90.3(a)(4)(E) (no imputation of potential income to a parent caring for a child under two; by analogy, imputation is similarly inappropriate where a parent's reduced employment is driven by the documented medical needs of a dependent minor child, and the totality of circumstances weighs against imputation under Civil Rule 90.3(a)(4)(B)).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and critically, the physical custody arrangement that formed the basis of the original child support order no longer exists. The 2021 order was calculated under a shared physical custody framework. The children now reside primarily with Sarah. Marcus exercises parenting time every other weekend and one weeknight per week, a schedule that plainly falls below thirty percent of the year and therefore constitutes primary, not shared, physical custody under Rule 90.3. This shift in residential arrangement fundamentally changes the support calculation methodology. Under a primary custody framework, the obligation is calculated solely on the non-custodial parent's adjusted annual income multiplied by the applicable percentage, rather than on the shared custody formula. Compare Civil Rule 90.3(a) with Civil Rule 90.3(b). The Alaska Supreme Court has held that a change in the actual custody arrangement, including one that occurs informally before a formal order is entered, constitutes a material change in circumstances. Mitchell v. Mitchell, 370 P.3d 1070 (Alaska 2016).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Revised Child Support Obligation Should Be Calculated Under the Primary Physical Custody Formula of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now reside primarily with Sarah and Marcus's parenting time falls well below thirty percent of the year, the applicable support formula is that set forth in Civil Rule 90.3(a), which governs cases in which one parent has primary physical custody. Under that provision, child support is calculated as an amount equal to the adjusted annual income of the non-custodial parent multiplied by a percentage specified in subparagraph (a)(2) under all circumstances. For two children, that percentage is twenty-seven percent.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Marcus's adjusted annual income must be calculated by subtracting from his gross income of $78,000 the mandatory deductions specified in Civil Rule 90.3(a)(1), including federal and state income taxes, Social Security tax, Medicare tax, and any other mandatory deductions applicable to his employment. The resulting adjusted annual income, multiplied by twenty-seven percent, will yield the annual child support obligation, which when divided by twelve will establish the monthly payment amount.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required courts to follow the Rule 90.3 formula faithfully and to avoid formulas that deviate from the prescribed calculation without proper justification. Bunn v. House, 934 P.2d 753 (Alaska 1997). A court that departs from the Rule 90.3 formula must articulate specific findings justifying the deviation. Flannery v. Flannery, 950 P.2d 126 (Alaska 1997); Halvers v. Pruitt, 355 P.3d 629 (Alaska 2009). No basis for downward deviation exists here. To the contrary, the facts compel strict application of the formula at Marcus's actual income level.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Younger Child's Medical Expenses Must Be Addressed in the Modified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younger child's chronic medical condition generates ongoing treatment expenses that were not contemplated at the time of the original order. AS 25.27.060(c) requires the court, in any proceeding where child support is at issue, to ensure that the support structure addresses health care coverage for the children. That provision specifically authorizes the court to allocate the cost of reasonable health care expenses not covered by private insurance equally between the parents unless there is good cause to allocate costs unequally. Where, as here, Marcus's income has substantially increased and Sarah has reduced her income specifically to care for the child with the medical condition, good cause exists to allocate a greater share of uncovered medical expenses to Marcus.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requests that the modified order expressly provide for allocation of uncovered medical expenses consistent with AS 25.27.060(c), and that the order require Marcus to bear his proportionate share of health care costs not covered by insurance, with reimbursement due within thirty days of receipt of documentation of each expense.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Existing Income Withholding Framework Should Be Updated to Reflect the Modified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enters a modified child support order, an income withholding order must accompany it. AS 25.27.062(a) requires that any court order providing for support contain an income withholding order providing for immediate income withholding. Marcus's new employment provides a stable wage base from which withholding can be administered efficiently. Sarah requests that the Court include an income withholding order directed to Marcus's current employer as part of the modified judgment, consistent with AS 25.27.062(a) and (b).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This Court Retains Jurisdiction to Enter the Modified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entered the original divorce decree and child support order in 2021. The children currently reside in Alaska with Sarah. Marcus resides in Alaska. Because both parents and the children continue to reside in this state, this Court retains exclusive, continuing jurisdiction over all child custody and support determinations under AS 25.30.310(a). No basis exists for any challenge to jurisdiction. The Court may proceed to modify the existing order without any preliminary jurisdictional determination.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Sarah Whitfield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has occurred since entry of the 2021 child support order, based on Marcus Whitfield's increased income, Sarah Whitfield's decreased income, and the de facto shift to primary physical custody with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Modify the child support order to reflect Marcus's current adjusted annual income of $78,000, calculated under the primary physical custody formula of Civil Rule 90.3(a)(2)(B) at twenty-seven percent for two children, and enter a revised monthly support obligation consistent with that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that uncovered medical expenses for the younger child be allocated between the parties under AS 25.27.060(c), with Marcus bearing a proportionate share commensurate with his substantially higher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Enter an income withholding order directed to Marcus's current employer pursuant to AS 25.27.062(a);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this Court deems just and proper in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2026-08-17T01:55:23.716Z</dcterms:created>
  <dcterms:modified xsi:type="dcterms:W3CDTF">2026-08-17T01:55:23.716Z</dcterms:modified>
</cp:coreProperties>
</file>

<file path=docProps/custom.xml><?xml version="1.0" encoding="utf-8"?>
<Properties xmlns="http://schemas.openxmlformats.org/officeDocument/2006/custom-properties" xmlns:vt="http://schemas.openxmlformats.org/officeDocument/2006/docPropsVTypes"/>
</file>