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("Petitioner") respectfully moves this Court to modify the existing child support order entered in 2021. Since that order was entered, the financial circumstances of both parties have changed substantially, and the parties have informally restructured their custody arrangement to reflect a near-equal division of parenting time. The existing order no longer accurately reflects the parties' current incomes, the actual custody schedule being exercised, or the children's increased needs. Modification is warranted under AS 25.24.170, AS 25.20.110, and Civil Rule 90.3, and the Court should enter a new order that accurately captures the present circumstances of both parties and serves the best interests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Marcus Whitfield and Jennifer Whitfield, divorced in 2021. At the time of divorce, the Court entered a child support order based on a custody schedule in which the parties' two minor children, currently ages eight and eleven, resided primarily with Jennifer on a 70/30 basis, with Marcus exercising parenting time approximately 30 percent of the year. The original support obligation was calculated under Civil Rule 960(a), which applies when one parent holds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2021, the circumstances of both parties have changed materially. Marcus, a licensed electrician employed in Anchorage, has received a substantial raise and now earns approximately $72,000 per year. Jennifer, a medical billing specialist, has obtained a second part-time position and now earns approximately $38,000 per year in combined income. Neither party's income was reflected in the original order at these levels.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Of equal significance, the parties have informally shifted from the 70/30 custody schedule incorporated into the original order to a near-equal schedule under which each parent exercises parenting time for approximately half of the year. This informal arrangement has not been reduced to a formal modification order. Under Civil Rule 90.3(f)(1), shared physical custody exists when children reside with a parent for at least 30 but no more than 70 percent of the year as specified in a written custody order. Because the current schedule approaches an equal division, Petitioner requests that the Court formally recognize the revised arrangement and apply the shared custody calculation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children's expenses have grown since 2021. Both children now participate in extracurricular activities involving registration fees, equipment, and travel costs. Medical expenses not covered by insurance have also increased. These increased costs affect the overall support needs of the children and warrant consideration in any recalculation.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retain continuing jurisdiction to modify child support orders following divorce. Under AS 25.24.170(a), the Court may, upon the motion of either party, set aside, alter, or modify any portion of a judgment that provides for the maintenance of either party or the care, nurture, and education of minor children. The statute expressly incorporates the framework of AS 25.20.110, which requires the moving party to demonstrate a change in circumstances and that modification is in the best interests of the child.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specifically, AS 25.24.170(b) provides that a material change in circumstances is presumed where the applicable guidelines have been amended in a significant way. More directly, Civil Rule 90.3 itself creates a presumption of a material change in circumstances when support as calculated under the rule is more than 15 percent greater or less than the outstanding support order. This standard was applied by the Alaska Supreme Court in Shanigan v. Shanigan, 386 P.3d 1238 (Alaska 2017), where the Court confirmed that a recalculation resulting in a more than 15 percent variance from the existing order triggers the presumption of a material change.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calculation method depends upon the custody arrangement. Civil Rule 90.3(a) applies where one parent holds primary physical custody and establishes the child support award as the non-custodial parent's adjusted annual income multiplied by the applicable percentage. Civil Rule 90.3(b) applies where the parents share physical custody, and it employs a formula based on both parents' incomes and each parent's respective custody percentage. As confirmed in Holmes v. Holmes, 414 P.3d 662 (Alaska 2018), the distinction between primary and shared physical custody determines which calculation method the court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have broad discretion to impute potential income to a parent who is voluntarily and unreasonably unemployed or underemployed. Civil Rule 90.3(a)(4). As the Alaska Supreme Court addressed in Peter Chapman v. Julia Chapman, 563 P.3d 1155 (Alaska 2025), when a parent possesses income-producing capacity beyond wages actually reported, the Court must examine whether imputation is appropriate to ensure an accurate and fair support determination.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Justifying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modifying a child support order is a demonstration of a material change in circumstances. AS 25.20.110(a). Three independent grounds satisfy this threshold here, each of which independently warrants modification and which together present a compelling case for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both parties' incomes have changed substantially since the 2021 order. Marcus now earns approximately $72,000 per year, a figure meaningfully higher than his income at the time the original order was entered. Jennifer now earns approximately $38,000 per year from combined employment. Under Civil Rule 90.3(b)(1), both parents' adjusted annual incomes are relevant inputs when calculating shared custody support, and the change in both parents' earnings alters the calculation significantly. The Alaska Supreme Court recognized in Shanigan v. Shanigan, 386 P.3d 1238 (Alaska 2017), that when recalculation under the rule produces a result more than 15 percent different from the outstanding order, a material change is presumed. Given the magnitude of the income changes on both sides, that threshold is almost certainly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parties' custody arrangement has materially changed. The original order was premised on a 70/30 schedule under which Jennifer held primary physical custody, and support was calculated accordingly under Civil Rule 90.3(a). The parties have since informally shifted to a near-equal custody schedule. As noted in Holmes v. Holmes, 414 P.3d 662 (Alaska 2018), the applicable calculation method shifts depending on whether the arrangement constitutes primary or shared custody. A custody schedule approaching equal time triggers the shared custody formula under Civil Rule 90.3(b), which accounts for both parents' incomes and time shares. This shift in custody percentage, standing alone, constitutes a material change in circumstances warranting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children's needs have increased. Both children now participate in extracurricular activities generating recurring costs, and uninsured medical expenses have grown. Under AS 25.27.975, courts must consider the need for support, the ability of both parents to meet support obligations, and the economic ability of the parents to pay. Increased costs for the children's activities and medical care represent a change in the very needs the support order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Apply the Shared Custody Formula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was calculated under Civil Rule 90.3(a), reflecting Jennifer's status as primary physical custodian under the original 70/30 schedule. That calculation method is no longer appropriate given the parties' current parenting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90.3(b)(1) governs child support calculations when parents share physical custody. Under that provision, the Court first calculates the annual amount each parent would owe the other under Civil Rule 90.3(a) assuming the other parent had primary custody. Each amount is then multiplied by the percentage of time the other parent has physical custody, and the parent with the larger figure is designated the obligor, with the annual award equal to the difference between the two figures multiplied by 1.5. Civil Rule 90.3(b)(1)(A)-(C).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near-equal schedule the parties are currently exercising places this arrangement squarely within the shared custody definition. Because the children now reside with each parent for approximately half the year, the Court should formally modify the custody order to reflect the shared arrangement and apply the Civil Rule 90.3(b)(1) formula to calculate a new support amount. The Alaska Supreme Court confirmed in Holmes v. Holmes, 414 P.3d 662 (Alaska 2018), that applying the correct formula is essential to ensuring the award accurately reflects the parties' actual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Adjusted Annual Incomes of Both Parties Must Be Calculated Accurately Under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Regardless of which custody formula ultimately applies, the Court must first determine each parent's adjusted annual income. Civil Rule 90.3(a)(1) defines adjusted annual income as total income from all sources reduced by specific mandatory and permitted deductions, including federal, state, and local income taxes, Social Security and Medicare taxes, mandatory retirement contributions, and health insurance premiums paid solely for the parent, subject to applicable caps.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Marcus, his gross income of approximately $72,000 will be reduced by applicable mandatory deductions to arrive at his adjusted annual income. For Jennifer, her combined earnings of approximately $38,000 from her primary employment and part-time position must both be included as total income before deductions are applied. The Alaska Supreme Court made clear in Peter Chapman v. Julia Chapman, 563 P.3d 1155 (Alaska 2025), that courts must examine the totality of a parent's income from all sources when determining the support obligation and that income-producing capacity should be accurately captured.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if the Court finds that either party is voluntarily and unreasonably underemployed or earning less than capable, Civil Rule 90.3(a)(4) authorizes imputation of potential income. The factors to be considered include the parent's employment history, job skills, educational attainment, the local job market, and any other relevant factors. Civil Rule 90.3(a)(4)(C). The Alaska Supreme Court's analysis in Peter Chapman v. Julia Chapman, 563 P.3d 1155 (Alaska 2025), illustrates that courts must scrutinize income figures carefully to ensure the calculation reflects actual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Must Include a Medical Support Order and Equitably Allocate Uncovered Health Care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modified child support order must include a medical support order consistent with AS 25.27.060(c). That statute requires the Court or agency to issue a medical support order directing that health care insurance be provided for the children if coverage is available to either parent at a reasonable cost. The statute further requires that the cost of health care insurance for the children be allocated equally between the parents unless there is good cause to do otherwise, and that uncovered health care expenses be similarly divided equally absent good cause.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children's increased medical expenses, the Court should carefully examine what health insurance coverage is available through each parent's employer and allocate premiums and uncovered costs in accordance with the statute. Any amount Marcus pays for the children's portion of health insurance premiums should be credited against the support calculation consistent with Civil Rule 90.3(a)(1)(F) and the formula set forth in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Modified Order Must Include an Income Withholding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order modifying child support must contain an income withholding order as required by AS 25.27.905(a). That provision mandates that a support order include an income withholding component directing the obligor's employer to withhold the specified support amount from earnings and remit it to the Child Support Services Division. The withholding order takes priority over other attachments or executions against the same income. AS 25.27.062(g). Including this provision in the modified order ensures compliance with state and federal law and provides a reliable mechanism for consistent payment.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Modification Should Be Effective Prospectively.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prohibits retroactive modification of child support. The Alaska Supreme Court confirmed this principle in Swaney v. Granger, 297 P.3d 132 (Alaska 2013), where it vacated a modification that improperly reached back to alter amounts already due under an existing order. Accordingly, Marcus requests that any modification be effective as of the date of filing of this motion, or such other prospective date as the Court deems appropriate, and not retroactively altered to reduce obligations that accrued before the filing of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respectfully requests that this Court enter an order modifying the existing child support obligation to reflect: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current adjusted annual incomes of both Marcus and Jennifer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 formal recognition of the parties' near-equal custody schedule, with child support recalculated under the shared custody formula set forth in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an equitable allocation of health insurance premiums and uncovered medical expenses pursuant to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consideration of the children's increased extracurricular and medical expenses in determining the appropriate support level;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inclusion of a mandatory income withholding order consistent with AS 25.27.062.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the 2021 order is necessary and proper under AS 25.24.170, AS 25.20.110, and Civil Rule 90.3. The existing order no longer reflects the parties' circumstances, the children's needs, or the custody arrangement the parties have actually been exercising. A recalculated order consistent with current Alaska law will serve the best interests of the two minor children and ensure that both parents contribute equitably to their support.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2026-08-17T02:03:35.740Z</dcterms:created>
  <dcterms:modified xsi:type="dcterms:W3CDTF">2026-08-17T02:03:35.740Z</dcterms:modified>
</cp:coreProperties>
</file>

<file path=docProps/custom.xml><?xml version="1.0" encoding="utf-8"?>
<Properties xmlns="http://schemas.openxmlformats.org/officeDocument/2006/custom-properties" xmlns:vt="http://schemas.openxmlformats.org/officeDocument/2006/docPropsVTypes"/>
</file>