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ESTABLISH OR MODIFY CHILD SUPPORT</w:t>
      </w:r>
    </w:p>
    <w:p>
      <w:pPr>
        <w:spacing w:after="0" w:before="0" w:line="240"/>
        <w:jc w:val="center"/>
      </w:pPr>
      <w:r>
        <w:rPr>
          <w:rFonts w:ascii="Times New Roman" w:cs="Times New Roman" w:eastAsia="Times New Roman" w:hAnsi="Times New Roman"/>
          <w:b w:val="false"/>
          <w:bCs w:val="false"/>
          <w:sz w:val="24"/>
          <w:szCs w:val="24"/>
        </w:rPr>
        <w:t xml:space="preserve">(doc-0176)</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Priya Nakamura respectfully submits this brief in support of her motion to modify the existing child support order entered in 2021. The original order required Respondent Brandon Nakamura to pay $850 per month in child support, a figure calculated on the basis of Brandon's then-annual salary of $52,000 as a warehouse supervisor and Priya's part-time income of $24,000. Since that order was entered, Brandon has accepted a new position as a logistics manager earning $78,000 per year, representing an increase of $26,000 in annual gross income. When Brandon's increased earnings are applied to the formula prescribed by Civil Rule 972(a), the resulting support obligation exceeds the current order of $850 per month by more than fifteen percent, triggering a presumption of a material change in circumstances. Modification is also warranted by the child's increased financial needs, including recently incurred medical and educational expenses that the current order does not address. Under AS 25.24.170 and AS 25.20.110, this Court has full authority to alter the existing support judgment to serve the best interests of the parties' nine-year-old daughter. For the reasons set forth below, Priya respectfully requests that the Court modify the child support order upward to an amount consistent with Civil Rule 926(a) and the current financial realities of both parents.</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Nakamura and Brandon Nakamura were divorced in 2021. At the time of the divorce, the Superior Court entered a child support order requiring Brandon to pay $850 per month. That figure was calculated based on Brandon's gross annual income of $52,000 as a warehouse supervisor and Priya's part-time gross annual income of $24,000. The parties operate under a primary physical custody arrangement whereby the parties' daughter, now nine years old, resides primarily with Priya. Brandon exercises parenting time on alternating weekends and one evening per week.</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Following entry of the 2021 order, Brandon accepted a new position as a logistics manager. He now earns $78,000 per year, an increase of $26,000 over the income on which the current support obligation was based. Priya remains employed part-time and earns approximately $26,000 per year, a modest increase of $2,000 from her income at the time of the original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daughter has incurred medical and educational expenses since the original order was entered that were not anticipated at the time of the 2021 proceeding. These expenses reflect the child's growing needs and contribute to the financial burden currently carried by Priya as the primary custodial parent. The existing support order of $850 per month is no longer adequate to meet the child's needs in light of Brandon's substantially increased earning capacity.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Applying the percentage formula under Civil Rule 927(a) to Brandon's current adjusted annual income of $78,000 produces a monthly support obligation that is more than fifteen percent greater than the standing order of $850 per month. Under Alaska case law, that arithmetic difference alone creates a presumption of a material change in circumstances sufficient to support modification. Brandon has not previously sought or obtained any modification of the 2021 order, and the order has not been adjusted or modified since it was entered.</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child support order may be modified upon motion of either party after judgment. AS 25.24.170(a) provides that "any time after judgment the court, upon the motion of either party, may set aside, alter, or modify so much of the judgment as may provide for alimony, for the appointment of trustees for the care and custody of the minor children or for their nurture and education, for the care, nurture, and education of unmarried 18-year-old children of the marriage while they are actively pursuing a high school diploma or an equivalent level of technical or vocational training and living as dependents with a parent, guardian, or designee of the parent or guardian, or for the maintenance of either party to the action."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the child support context, modification requires a showing of a material change in circumstances. AS 25.24.170(b) further clarifies that "for the purposes of a motion to modify or terminate child support, the adoption or enactment of guidelines or a significant amendment to guidelines for determining support is a material change in circumstances if the guidelines are relevant to the motion." Alaska courts apply a presumption of a material change in circumstances when the support obligation calculated under Civil Rule 90.3(a) differs from the outstanding order by more than fifteen percent. This presumption is recognized in Alaska appellate decisions discussing the operation of the rule. See Berkbigler v. Berkbigler, 921 P.2d 628 (Alaska 1996); Holmes v. Holmes, 414 P.3d 662 (Alaska 2018).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 governs the calculation of child support in primary physical custody cases. Under that rule, the support award is determined by multiplying the non-custodial parent's adjusted annual income by a specified percentage. For one child, the applicable percentage is twenty percent. Civil Rule 90.3(a)(2)(A). The rule defines adjusted annual income as the parent's total income from all sources minus enumerated mandatory and permissible deductions. Civil Rule 90.3(a)(1).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Modification of a custody or support award must also serve the best interests of the child. AS 25.20.110(a) provides that an award of custody or visitation may be modified when a change in circumstances requires the modification and modification is in the best interests of the child. Alaska courts have consistently held that the primary purpose of Rule 90.3 is to ensure that support orders are adequate to meet children's needs, subject to the parents' ability to pay. Holmes v. Holmes, 414 P.3d 662 (Alaska 2018).</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BRANDON'S SUBSTANTIAL INCREASE IN INCOME CONSTITUTES A MATERIAL CHANGE IN CIRCUMSTANCES THAT PRESUMPTIVELY WARRANTS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question on a motion to modify child support is whether a material change in circumstances has occurred since the last order. In the present case, Brandon's income has increased from $52,000 per year to $78,000 per year, a gross increase of $26,000, or approximately fifty percent. The Alaska Supreme Court has recognized that when application of Civil Rule 90.3 to a parent's current income yields a support amount that is more than fifteen percent greater or lesser than the existing order, a material change of circumstances is presumed. Berkbigler v. Berkbigler, 921 P.2d 628 (Alaska 1996); Holmes v. Holmes, 414 P.3d 662 (Alaska 2018).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90.3(a)(2)(A), child support for one child is calculated at twenty percent of the non-custodial parent's adjusted annual income. Applying that percentage to Brandon's current gross income of $78,000, before mandatory deductions, yields a preliminary annual support figure of $15,600, or $1,300 per month. Even accounting for standard mandatory deductions such as federal and state income tax, Social Security, and Medicare tax as required by Civil Rule 90.3(a)(1)(A), the resulting monthly obligation will substantially exceed $850 per month by a margin well above fifteen percent. The presumption of a material change in circumstances is therefore squarely triggered. Brandon bears the burden of rebutting that presumption, and no basis for rebuttal is apparent on the record presented.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further held that a court, upon finding even a single material change of circumstances, may reopen consideration of related support components, including expense allocations and other financial provisions. Holmes v. Holmes, 414 P.3d 662 (Alaska 2018). Accordingly, this Court is not limited to mechanically adjusting the base support figure. It may also address the allocation of the child's uncovered medical and educational expenses as part of a comprehensive recalculation under Civil Rule 90.3.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facts here closely parallel those examined in Peter Chapman v. Julia Chapman, 563 P.3d 1155 (Alaska 2025), where the Alaska Supreme Court affirmed that a substantial discrepancy between a parent's reported income and the income on which the standing support order was based warranted modification, and that courts may impute income where a parent voluntarily reduces earnings. Although Brandon has not sought to conceal or minimize income in the present case, the Chapman decision underscores that courts must look to the full picture of a parent's financial circumstances, including total income from all sources as contemplated by Civil Rule 90.3(a)(1), in setting an appropriate support figure.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prior support order of $850 per month was calibrated to an income base that no longer reflects Brandon's financial reality. Allowing that order to remain unmodified would deprive the child of support commensurate with her father's current earning capacity, contrary to both the letter and purpose of Civil Rule 90.3.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CHILD'S INCREASED FINANCIAL NEEDS, INCLUDING MEDICAL AND EDUCATIONAL EXPENSES, INDEPENDENTLY SUPPORT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Even setting aside the change in Brandon's income, the child's increased financial needs since 2021 provide an independent basis for modifying the existing order. The Alaska Supreme Court has long recognized that both a child's increased needs and changes in parental income are relevant considerations in support modification proceedings. Headlough v. Headlough, 639 P.2d 1010 (Alaska 1982). In Headlough, the court confirmed that in evaluating whether a support obligation should be increased, the court must consider not only the needs of the children but also the financial abilities of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daughter, now nine years old, has incurred medical expenses and educational expenses that were not contemplated at the time of the 2021 order. These costs fall disproportionately on Priya as the primary custodial parent. Under AS 25.27.060(c), a court in a proceeding where support of a minor child is at issue "may order either parent or both parents to pay the amount necessary for support, maintenance, nurture, and education of the child. under all circumstances" That provision expressly encompasses education-related costs and medical care, confirming that this Court has full authority to account for such expenses in a modified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90.3(a)(1)(E) recognizes work-related child care expenses for the subject children as a deductible component in calculating adjusted annual income, and the overall framework of the rule is designed to produce a support figure that reflects real costs of raising a child. The existence of unanticipated and ongoing medical and educational expenses reinforces the inadequacy of the current order and the need for upward modification.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MODIFICATION OF THE SUPPORT ORDER IS IN THE BEST INTERESTS OF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Any modification of child support must serve the best interests of the child. AS 25.20.110(a). Here, the best-interests standard is plainly satisfied. The purpose of child support is to ensure that children benefit from both parents' financial resources, proportionate to each parent's ability to provide. Brandon's ability to contribute has increased by approximately fifty percent since the original order was entered. Holding Brandon to an obligation calibrated to a $52,000 income when he now earns $78,000 annually allows him to retain a windfall at the expense of his daughter's financial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Priya's income has remained essentially stable over the same period, increasing only marginally from $24,000 to $26,000. She continues to bear the day-to-day financial responsibilities associated with primary physical custody. Upward modification of the support order to an amount consistent with Civil Rule 90.3(a) would produce a fair and proportionate allocation of child-rearing costs between the parents, consistent with the child's best interests and with the equitable principles underlying Alaska's child support framework.</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the original order has not been modified or adjusted at any point since 2021, and because the support amount recalculated under Civil Rule 90.3(a) exceeds the current order by more than fifteen percent, this Court is presented with a straightforward case for modification. The evidence necessary to recalculate support, specifically Brandon's current income and applicable deductions under Civil Rule 90.3(a)(1), is readily ascertainable and should be submitted in connection with this motion. The Court should enter a modified order reflecting Brandon's current adjusted annual income and directing appropriate allocation of the child's uncovered medical and educational costs.</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Petitioner Priya Nakamura respectfully requests that this Court grant her motion to modify the existing child support order. Specifically, Petitioner requests that the Court: (1) find that Brandon Nakamura's increase in annual income from $52,000 to $78,000 constitutes a material change in circumstances warranting modification under AS 25.24.170(a) and Civil Rule 90.3(a); (2) recalculate the child support obligation based on Brandon's current adjusted annual income in accordance with Civil Rule 90.3(a)(2)(A); (3) address the allocation of the child's uncovered medical and educational expenses as part of the modified order pursuant to AS 25.27.060(c); and (4) enter a modified support order that serves the best interests of the parties' daughter consistent with AS 25.20.110(a).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existing order of $850 per month is no longer adequate, no longer equitable, and no longer consistent with Alaska law as applied to the current financial circumstances of both parties. Modification is warranted as a matter of law and equity, and the best interests of the child compel it.</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2026-08-17T02:05:55.222Z</dcterms:created>
  <dcterms:modified xsi:type="dcterms:W3CDTF">2026-08-17T02:05:55.222Z</dcterms:modified>
</cp:coreProperties>
</file>

<file path=docProps/custom.xml><?xml version="1.0" encoding="utf-8"?>
<Properties xmlns="http://schemas.openxmlformats.org/officeDocument/2006/custom-properties" xmlns:vt="http://schemas.openxmlformats.org/officeDocument/2006/docPropsVTypes"/>
</file>