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(doc-0177)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Larsen respectfully petitions this Court to modify the existing child support order entered in 2021. Three concurrent and substantial changes in circumstances have occurred since that order was entered: Colin Larsen's annual income has nearly doubled, from approximately $62,000 to approximately $118,000; the parties' de facto custodial arrangement has shifted so that the children now reside primarily with Ashley approximately 70 percent of the time; and the parties' youngest child has been diagnosed with a developmental disability requiring ongoing specialized therapy and educational services that generate significant additional expense. Each of these changes, independently and certainly in combination, constitutes a material change in circumstances under Alaska law. The current support order of $850 per month no longer reflects the financial realities of either party, the actual distribution of custodial time, or the exceptional needs of the youngest child. Modification is both legally required and equitable.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Larsen and Colin Larsen divorced in 2021. At the time of the divorce, the Superior Court entered a child support order requiring Colin to pay $850 per month. That order was based on Colin's annual income of approximately $62,000 as a heavy equipment operator and Ashley's annual income of approximately $28,000 as a part-time dental receptionist. The parties shared custody on a roughly equal basis at the time the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the 2021 order, three material changes have occurred. First, Colin accepted a new position with a North Slope oil contractor. His current annual income is approximately $118,000, representing an increase of approximately $56,000 per year, or approximately 90 percent above his income at the time of the original order. This increase is not temporary; Colin is employed in a stable, ongoing position.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actual custodial arrangement has changed substantially. Colin's North Slope rotation schedule keeps him away from Anchorage for extended periods of several weeks at a time. As a result, the children now reside primarily with Ashley approximately 70 percent of the time. This shift from a roughly equal shared arrangement to a primary custody arrangement with Ashley has not been formally recognized in any modified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the parties' youngest child was recently diagnosed with a developmental disability. This diagnosis requires specialized therapeutic and educational services that generate ongoing costs beyond ordinary child-rearing expenses. Ashley has reduced her working hours further in order to manage transportation to therapy appointments, coordinate educational services, and provide the additional direct care that the child's condition requires. The existing support order does not account for any of these extraordinary expenses.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combination of Colin's substantially increased income, the altered custodial schedule, and the youngest child's special needs renders the current $850 monthly order inadequate and inequitable.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authority to modify a child support order upon a showing of a material change in circumstances. Under AS 25.24.170, any time after judgment the court may, on the motion of either party, set aside, alter, or modify so much of the judgment as provides for the maintenance of either party or for the care, nurture, and education of the minor children. AS 25.24.170 operates in conjunction with Civil Rule 90.3, which provides the computational framework for child support awards.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 child support in a primary physical custody case is calculated by multiplying the non-custodial parent's adjusted annual income by a specified percentage: 20 percent for one child, 27 percent for two children, and 33 percent for three children. Adjusted annual income is the parent's total income from all sources minus certain mandatory and allowable deductions as defined in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material change of circumstances is presumed when the support amount calculated under the rule is more than 15 percent greater or less than the outstanding support order. Richardson v. Kohlin, 175 P.3d 43 (Alaska 2008). Courts have repeatedly confirmed that a significant and lasting increase in the obligor's income, a change in the custodial arrangement, or a change in the needs of the child can each independently constitute a material change in circumstances. Arndt v. Arndt, 777 P.2d 668 (Alaska 1989); Wilhour v. Wilhour, 308 P.3d 884 (Alaska 2013).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primary purpose of Rule 90.3 is to ensure that child support orders are adequate to meet the needs of children, subject to the ability of the parents to pay. Holmes v. Holmes, 414 P.3d 662 (Alaska 2018). Trial courts have broad discretion in deciding whether and how to modify child support orders. Holmes v. Holmes, 414 P.3d 662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unusual circumstances exist, Civil Rule 90.3(c) permits the court to vary the support award upon proof by clear and convincing evidence that manifest injustice would result if the award were not varied, provided good cause is shown. Civil Rule 90.3(c)(1) further recognizes that good cause may include a finding that unusual circumstances require variation of the award in order to award an amount of support that is just and proper for the parties to contribute toward the nurture and education of their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COLIN LARSEN'S SUBSTANTIAL INCREASE IN INCOME CONSTITUTES A MATERIAL CHANGE IN CIRCUMSTANCES REQUIRING UPWARD MODIFICATION OF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most fundamental basis for modification here is Colin's dramatic increase in income. At the time of the 2021 order, Colin earned approximately $62,000 per year. He now earns approximately $118,000 per year in his position with a North Slope oil contractor. This represents an increase of roughly $56,000 annually, an increase of nearly 90 percent. This is precisely the type of change that Alaska law recognizes as a material change in circumstances warranting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 child support in a primary custody arrangement is based on the non-custodial parent's adjusted annual income. Applying the applicable percentage to Colin's current income of approximately $118,000, less allowable deductions under Civil Rule 90.3(a)(1), yields a support obligation that is substantially greater than the existing $850 monthly order. The differential will far exceed the 15 percent threshold that triggers a presumption of a material change in circumstances, as recognized in Richardson v. Kohlin, 175 P.3d 43 (Alaska 2008) and confirmed in Berkbigler v. Berkbigler, 921 P.2d 628 (Alaska 1996).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Colin's increased income is not a temporary windfall or a transitional circumstance. He is employed in an ongoing capacity as a North Slope oil contractor employee, a field known for stable, long-term employment. Alaska courts have consistently distinguished temporary income fluctuations from permanent changes that warrant modification. In Arndt v. Arndt, 777 P.2d 668 (Alaska 1989), the Alaska Supreme Court emphasized that a qualifying change in circumstances ordinarily must be more or less permanent rather than temporary. Colin's move to his current employer and the substantial salary increase that accompanied it is a permanent change, not a transient one.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Likewise, in Wilhour v. Wilhour, 308 P.3d 884 (Alaska 2013), the court addressed the significance of income changes and the propriety of using current income in calculating support. The lesson of Wilhour, read in Ashley's favor, is that where an obligor's income has measurably and durably increased, the court should apply that current income to the Rule 90.3 formula. Similarly, in Peter Chapman v. Julia Chapman, 563 P.3d 1155 (Alaska 2025), the Alaska Supreme Court addressed a scenario in which a significant discrepancy between a prior support order and the obligor's actual income led the court to examine the obligation anew. The principle that support should reflect actual, current earning capacity is well established.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Colin's failure to seek voluntary modification after his income nearly doubled is itself telling. The existing order locks Ashley and the children into a support level calculated on less than half of Colin's current earning capacity. This Court should recalculate support based on Colin's current adjusted annual income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SHIFT TO PRIMARY PHYSICAL CUSTODY WITH ASHLEY REQUIRES MODIFICATION OF THE CHILD SUPPORT FORMULA AND AMOUNT.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2021 support order was calculated under a shared custody framework reflecting roughly equal parenting time. The actual custodial arrangement has now changed fundamentally. Colin's North Slope rotation schedule keeps him away from Anchorage for extended periods, and the children now reside primarily with Ashley approximately 70 percent of the time. This shift moves the arrangement from shared physical custody into the primary physical custody category governed by Civil Rule 90.3(a) rather than any shared custody adjustment.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change in custodial arrangement is independently sufficient to establish a material change in circumstances under AS 25.24.170, which authorizes modification of provisions for the care and nurture of minor children. The Alaska Supreme Court has recognized that a significant change in child custody is among the clearest bases for revisiting a support order. Arndt v. Arndt, 777 P.2d 668 (Alaska 1989) (identifying a significant change in child custody as part of the constellation of changed circumstances warranting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one parent has primary physical custody, Civil Rule 90.3(a) directs the court to calculate support by multiplying the non-custodial parent's adjusted annual income by the applicable percentage. Because the children now reside with Ashley approximately 70 percent of the time, Colin is properly characterized as the non-custodial parent for Rule 90.3(a) purposes. The formula must be applied accordingly. The current order was not calculated on this basis and therefore does not reflect the actual distribution of parenting responsibilities and associated costs.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bears the daily financial burden of housing, feeding, transporting, and caring for the children during the approximately 70 percent of time they are in her primary care. Colin's rotational schedule, while understandable as a function of his employment, shifts a disproportionate share of ordinary child-rearing costs onto Ashley. A support order that does not account for this shift is inadequate and should be modified.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YOUNGEST CHILD'S DEVELOPMENTAL DISABILITY AND ASSOCIATED THERAPEUTIC AND EDUCATIONAL NEEDS CONSTITUTE AN ADDITIONAL AND INDEPENDENT BASIS FOR MODIFICATION, AND SUPPORT SHOULD BE VARIED TO ACCOUNT FOR THESE EXTRAORDINARY EXPENSES.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youngest child's recent diagnosis of a developmental disability introduces an ongoing category of extraordinary expense that was entirely absent from the 2021 order. The child requires specialized therapeutic and educational services. These services carry costs beyond what ordinary child support calculations contemplate. This represents a material change in the needs of the child and provides an independent basis for modification under AS 25.24.170.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25.27.060(c), in any proceeding where the support of a minor child is at issue, the court may order either parent or both parents to pay the amount necessary for support, maintenance, nurture, and education of the child. The court's authority to address the full scope of the child's needs is explicit in this provision. The specialized therapy and educational programming required by the youngest child's diagnosis falls squarely within the categories of nurture and education that AS 25.27.060(c) contemplates.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Beyond the standard Rule 90.3(a) calculation, this Court has authority under Civil Rule 90.3(c) to vary the support award where unusual circumstances exist that require variation in order to award an amount that is just and proper for the parties to contribute toward the nurture and education of their children. The rule provides that good cause may include a finding that unusual circumstances exist which require variation of the award in order to award an amount of support which is just and proper for the parties to contribute toward the nurture and education of their children. A child's diagnosis with a developmental disability requiring ongoing specialized therapy and educational intervention is precisely the kind of unusual circumstance that justifies a variation or supplemental award to cover those extraordinary expenses.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allocating these costs, the Court should consider the disparity in the parties' incomes. Colin now earns approximately $118,000 annually while Ashley earns less than she did at the time of the original order due to her reduction in hours necessitated by the youngest child's care needs. Requiring Ashley, at her reduced income level, to bear an equal or disproportionate share of the extraordinary costs of the youngest child's disability-related services would produce manifest injustice within the meaning of Civil Rule 90.3(c). The Court should allocate the extraordinary therapeutic and educational expenses in a manner proportional to the parties' respective incomes and earning capacities.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the best interests of the children and the proper level of support, the Court is directed by AS 25.24.150(c) to consider, among other factors, the physical, emotional, mental, and social needs of the child; the capability and desire of each parent to meet those needs; and other factors the court considers pertinent. Colin's substantially greater income equips him to bear a larger share of the youngest child's extraordinary expenses. The Court should order accordingly.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COMBINATION OF ALL THREE CHANGED CIRCUMSTANCES COMPELS MODIFICATION, AND THE COURT SHOULD RECALCULATE SUPPORT UNDER CIVIL RULE 90.3 BASED ON CURRENT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Each of the three material changes described above, considered independently, is sufficient to open the child support order for modification. Considered together, they present an overwhelming case for recalculation. The existing order of $850 per month was calculated based on: (1) Colin's income of $62,000; (2) a roughly equal custody split; and (3) no extraordinary child needs. All three of those predicate facts have now changed materially and permanently.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the Alaska Supreme Court noted in Holmes v. Holmes, 414 P.3d 662 (Alaska 2018), where multiple material changes of circumstances have been alleged, a finding that one exists may be sufficient to allow the court to reopen the entire support issue, with the other changes bearing on the amount of support due. Here, all three changes bear directly on the amount of support that is just and proper, and all three point in the same direction: upward.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recalculated support obligation under Civil Rule 90.3(a) should be based on Colin's current adjusted annual income of approximately $118,000, less only those deductions authorized by Civil Rule 90.3(a)(1), including mandatory tax obligations, mandatory retirement contributions, and other qualifying deductions. The applicable percentage should be applied to that adjusted income to yield the presumptive support amount. In addition, the Court should address the youngest child's extraordinary therapeutic and educational expenses as a separate component of the support order, allocated between the parties in proportion to their respective incomes pursuant to Civil Rule 90.3(c).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respectfully submits that the modified support order should reflect all three components: (1) a recalculated base support amount under Civil Rule 90.3(a) using Colin's current income; (2) recognition of Ashley's primary physical custody status in the formula applied; and (3) a specific allocation of the extraordinary expenses associated with the youngest child's developmental disability and related services.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Ashley Larsen respectfully requests that this Court grant her motion to modify child support. The existing order of $850 per month was calculated under conditions that no longer exist. Colin Larsen's income has increased by nearly 90 percent to approximately $118,000 annually. The children now reside primarily with Ashley approximately 70 percent of the time, shifting the arrangement from shared to primary physical custody. The parties' youngest child has been diagnosed with a developmental disability that generates ongoing and substantial therapeutic and educational expenses not accounted for in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Each of these circumstances constitutes an independent material change under AS 25.24.170 and Civil Rule 90.3. Together, they compel modification. This Court should recalculate the support obligation under Civil Rule 90.3(a) using Colin's current adjusted annual income, recognize Ashley's primary custodial status, and address the youngest child's extraordinary needs pursuant to Civil Rule 90.3(c) and AS 25.27.060(c).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respectfully requests that the Court enter a modified child support order consistent with the foregoing, effective from the date of the filing of this motion.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2026-08-17T02:07:15.200Z</dcterms:created>
  <dcterms:modified xsi:type="dcterms:W3CDTF">2026-08-17T02:07:15.200Z</dcterms:modified>
</cp:coreProperties>
</file>

<file path=docProps/custom.xml><?xml version="1.0" encoding="utf-8"?>
<Properties xmlns="http://schemas.openxmlformats.org/officeDocument/2006/custom-properties" xmlns:vt="http://schemas.openxmlformats.org/officeDocument/2006/docPropsVTypes"/>
</file>