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Sutter respectfully petitions this Court to modify the existing child support order entered at the time of the parties' divorce in 2021. The current order was calculated using David Sutter's annual income of $52,000. David subsequently received a union promotion that increased his annual income to approximately $72,000, representing a substantial increase of roughly $20,000 per year. This increase triggers a presumptive material change in circumstances under Alaska law and Civil Rule 944, and warrants an upward recalculation of child support to reflect David's current earning capacity and the financial needs of the parties' two minor children. Sarah asks the Court to apply the applicable guidelines formula and enter a modified support order consistent with David's present income and the established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David Sutter and Sarah Sutter, were divorced in 2021 following proceedings in this Court. As part of the divorce decree, the Court established a child support order based on David's then-annual income of $52,000 as a commercial electrician in Anchorage. At the time of the divorce, the Court awarded the parties joint legal custody of their two minor children and established that Sarah would have primary physical custody approximately seventy percent of the time, with David exercising parenting time the remaining thirty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support order, David has received a union promotion. His current annual income as a commercial electrician is approximately $72,000. Sarah's annual income remains approximately $38,000 in her position as a medical billing specialist. David's income has therefore increased by approximately $20,000 per year since the existing order was entered. No modification of the support order has been sought or obtained since the original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 a child support obligation in a primary physical custody arrangement is calculated by multiplying the non-custodial parent's adjusted annual income by a fixed percentage based on the number of children. For two children, that percentage is 27 percent. Applying this formula to David's current income of $72,000 yields a substantially higher support obligation than that reflected in the existing order, which was based on $52,000. The difference between support calculated under the current order and support calculated at David's current income exceeds 15 percent, triggering a presumptive material change in circumstances. Accordingly, Sarah now petitions for upward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final child support order may be modified upon a showing of a material change in circumstances. AS 25.24.976(a) provides that "any time after judgment the court, upon the motion of either party, may set aside, alter, or modify so much of the judgment as may provide for alimony, for the appointment of trustees for the care and custody of the minor children or for their nurture and education, for the care, nurture, and education of unmarried 18-year-old children of the marriage while they are actively pursuing a high school diploma or an equivalent level of technical or vocational training and living as dependents with a parent, guardian, or designee of the parent or guardian, or for the maintenance of either party to the action. under all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In a case involving primary physical custody, the child support award is calculated as "an amount equal to the adjusted annual income of the non-custodial parent multiplied by a percentage specified in subparagraph (a)(2)." Civil Rule 90.3(a). For two children, that percentage is 27 percent. Civil Rule 90.3(a)(2).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of circumstances is presumed when support as recalculated under the rule is more than 15 percent greater or less than the amount of the outstanding support order. This presumption is firmly established in Alaska case law. As the court addressed in Hixson v. Sarkesian, 123 P.3d 1072 (Alaska 2005), the correct method for calculating child support for two children requires application of the 27 percent rate set forth in Civil Rule 90.3(a)(2). Similarly, in Shanigan v. Shanigan, 386 P.3d 1238 (Alaska 2017), the court confirmed that to trigger a modification in child support, the petitioning party must demonstrate a material change of circumstances, which is presumed if support recalculated under the rule is more than 15 percent greater or less than the outstanding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further recognized that a significant change in a parent's income constitutes a material change in circumstances sufficient to support modification. In Bunn v. House, 934 P.2d 753 (Alaska 1997), the court recognized that shifts in the income level of one or both parents are among the most common and well-established forms of material change permitting modification of a child support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DAVID'S INCREASED INCOME CONSTITUTES A MATERIAL CHANGE IN CIRCUMSTANCES WARRANTING UPWARD MODIFICATION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child support order was entered in 2021 and reflects a support obligation based on David's annual income of $52,000. David's income has since increased to approximately $72,000 per year following his union promotion. This increase of approximately $20,000 per year is not a minor or temporary fluctuation. It reflects a lasting, substantial change in David's earning capacity resulting from a career advancement in his trade.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the support obligation for a non-custodial parent is calculated by multiplying his adjusted annual income by the applicable percentage. For two children, Civil Rule 90.3(a)(2) sets that percentage at 27 percent. Applying that formula to David's prior income of $52,000 yields an annual obligation of approximately $14,040, or about $1,170 per month. Applying the same formula to David's current income of $72,000 yields an annual obligation of approximately $19,440, or approximately $1,620 per month, before any applicable deductions are subtracted to arrive at adjusted annual income. The difference between these two figures exceeds 15 percent, triggering a presumptive finding of material change in circumstances, as recognized in Shanigan v. Shanigan, 386 P.3d 1238 (Alaska 2017), and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Holmes v. Holmes, 414 P.3d 662 (Alaska 2018), confirmed that when one parent holds primary physical custody, the non-custodial parent's support obligation is governed by Civil Rule 90.3(a) and is determined by the non-custodial parent's adjusted annual income multiplied by the specified percentage based on the number of children. In this case, David is the non-custodial parent, exercising parenting time approximately 30 percent of the year. Because he has parenting time of less than the threshold required for a shared custody calculation, Civil Rule 90.3(a) governs the calculation, and the formula is straightforward.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Swaney v. Granger, 297 P.3d 132 (Alaska 2013), emphasized that the superior court's determination of child support must conform to the analysis specified in Civil Rule 90.3(a), and that deviations from the mandatory formula require specific statutory or rule-based justification. No such justification exists here for maintaining the reduced order based on outdated income figures.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recognition in Bunn v. House, 934 P.2d 753 (Alaska 1997), that income changes are a recognized category of material change of circumstances is directly applicable here. David's $20,000 annual income increase is not a temporary fluctuation; it is the product of a formal union promotion and represents his current and foreseeable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CALCULATE DAVID'S SUPPORT OBLIGATION BASED ON HIS CURRENT ADJUSTED ANNUAL INCOME USING THE CIVIL RULE 90.3(a)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mandatory and permitted deductions, including federal, state, and local income tax, Social Security and Medicare taxes, mandatory union dues, mandatory retirement contributions, and other specified items. Civil Rule 90.3(a)(1)(A) through (G) sets forth the complete list of permissible deductions.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acknowledges that David is entitled to deduct mandatory union dues and other mandatory deductions in arriving at his adjusted annual income pursuant to Civil Rule 90.3(a)(1)(A). The precise adjusted annual income figure will depend on the actual deductions David is able to substantiate. Sarah requests that the Court direct David to provide complete and current income documentation, including pay stubs, W-2 forms, and documentation of any applicable deductions, so that the Court may calculate his adjusted annual income with precision.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David's adjusted annual income is established, the Court should multiply that figure by 27 percent in accordance with Civil Rule 90.3(a)(2)(B) to arrive at the annual child support award for two children, then divide by twelve to determine the monthly obligation. The Alaska Supreme Court confirmed this calculation method in Hixson v. Sarkesian, 123 P.3d 1072 (Alaska 2005), holding that the 27 percent rate under Civil Rule 90.3(a)(2) is the required method for calculating child support for two children in a primary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also notes that Peter Chapman v. Julia Chapman, 563 P.3d 1155 (Alaska 2025), confirms that when a party's income changes materially and a recalculation under Rule 90.3 would result in a more than 15 percent difference from the existing order, the court should proceed with modification. That case further illustrates that the court may consider all sources of income and, if appropriate, impute potential income where a parent's reported income does not reflect true earning capacity. While Sarah does not presently contend that David is underreporting income, she reserves the right to request imputation of potential income under Civil Rule 90.3(a)(4) if discovery reveals that David has voluntarily limited his income or shifted compensation in a manner inconsistent with his demonstrated earning capacity.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MODIFIED SUPPORT ORDER SHOULD BE ACCOMPANIED BY A MANDATORY INCOME WITHHOLDING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that any order providing for child support include an income withholding component. AS 25.27.062(a) provides that any judgment, court order, or order of the agency providing for support must contain an income withholding order. Upon modification of the existing support order, Sarah requests that the Court include a conforming income withholding order requiring David's employer to withhold the monthly support obligation directly from David's wages and remit those funds to the Child Support Services Agency in accordance with AS 25.27.062(b).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income withholding order will ensure consistent and timely payment of the modified support obligation, protect the children's financial interests, and reduce the likelihood of future arrearages. AS 25.27.900(2) defines arrearage as a debt that is past due and equal to at least one monthly obligation under the support order. To avoid accumulation of arrearages and the associated enforcement burdens, income withholding from the outset of the modified order is appropriate and required by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MODIFIED SUPPORT ORDER SHOULD BE EFFECTIVE AS OF THE DATE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the Court retains continuing jurisdiction to modify support orders. Modification of a child support order generally takes effect as of the date the motion to modify is filed. Retroactive modification to a date prior to the filing of the motion is prohibited under Alaska law, as recognized in Swaney v. Granger, 297 P.3d 132 (Alaska 2013), where the court vacated a modification order in part because it improperly reached back to a period before the motion was filed. Sarah therefore requests that the Court make the modified child support award effective as of the date of the filing of this motion,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CHILDREN'S FINANCIAL NEEDS SUPPORT AN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purpose of child support is to ensure that both parents contribute to the financial needs of their children in proportion to their respective incomes and the custody arrangement in place. AS 25.27.060(a) provides that the court shall carefully consider the need for support, the ability of both parents to meet support obligations, the extent to which the parents supported the child before divorce, and the economic ability of the parents to pay after separation and divorce. David's income has grown substantially since the original support order was entered. Sarah's income of approximately $38,000 per year has remained relatively constant. The disparity between the parties' incomes has widened, and the current support order no longer reflects the proportionate contribution David is capable of making to the children's care. The children's daily expenses, including housing, food, clothing, health care, education, and extracurricular activities, are primarily borne by Sarah as the primary physical custodian. A support obligation calculated on a $52,000 income does not adequately reflect David's current ability to contribute to those expenses. Berkbigler v. Berkbigler, 921 P.2d 628 (Alaska 1996), recognizes that the guidelines formula under Civil Rule 90.3 governs the calculation of support obligations up to the income cap, and that the formula is designed to ensure proportionate contribution from the non-custodial parent. The upward modification Sarah seeks is consistent with that purpose and with the children's demonstrated financial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Sarah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David Sutter's increase in annual income from $52,000 to approximately $72,000 constitutes a material change in circumstances warranting modification of the existing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David to provide complete and current income documentation, including pay stubs, W-2 forms, and documentation of all applicable deductions under Civil Rule 90.3(a)(1), so that the Court may calculate his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 David's child support obligation under Civil Rule 90.3(a) by multiplying his adjusted annual income by 27 percent as required by Civil Rule 90.3(a)(2)(B) for two children, and divide the resulting annual amount by twelve to determine the monthly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modified child support order reflecting David's current income, effective as of the date of the filing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Include a mandatory income withholding order in the modified support order as required by AS 25.27.062;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in the interests of the parties' two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2026-08-17T02:09:51.071Z</dcterms:created>
  <dcterms:modified xsi:type="dcterms:W3CDTF">2026-08-17T02:09:51.071Z</dcterms:modified>
</cp:coreProperties>
</file>

<file path=docProps/custom.xml><?xml version="1.0" encoding="utf-8"?>
<Properties xmlns="http://schemas.openxmlformats.org/officeDocument/2006/custom-properties" xmlns:vt="http://schemas.openxmlformats.org/officeDocument/2006/docPropsVTypes"/>
</file>