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ESTABLISH OR MODIFY CHILD SUPPORT</w:t>
      </w:r>
    </w:p>
    <w:p>
      <w:pPr>
        <w:spacing w:after="0" w:before="0" w:line="240"/>
        <w:jc w:val="center"/>
      </w:pPr>
      <w:r>
        <w:rPr>
          <w:rFonts w:ascii="Times New Roman" w:cs="Times New Roman" w:eastAsia="Times New Roman" w:hAnsi="Times New Roman"/>
          <w:b w:val="false"/>
          <w:bCs w:val="false"/>
          <w:sz w:val="24"/>
          <w:szCs w:val="24"/>
        </w:rPr>
        <w:t xml:space="preserve">(doc-0180)</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Nakamura respectfully moves this Court to modify the existing child support order entered in 2021. The original order required Brandon Nakamura to pay $850 per month in child support, calculated on the basis of his then-annual income of $52,000 and a shared physical custody arrangement in which both parents exercised roughly equal parenting time with the parties' two minor children. Since that order was entered, material changes in circumstances have occurred on multiple fronts. Brandon's annual income has risen to approximately $74,000 following a promotion, while Marcus's annual income has fallen to approximately $38,000 due to a medical condition requiring him to reduce his working hours. Equally significant, the residential schedule has shifted substantially: the children now reside with Marcus approximately 70 percent of the time, converting what was a shared custody arrangement under the guidelines into a primary custody arrangement in his favor. These combined changes, affecting both the parties' relative incomes and the physical custody schedule, compel an upward modification of the existing child support obligation. Marcus requests that this Court enter a modified order requiring Brandon to pay approximately $1,400 per month, an amount that accurately reflects the current income disparity, the changed custody arrangement, and the financial needs of the children.</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divorced in 2021. At the time of the divorce decree, the superior court entered a child support order requiring Brandon Nakamura to pay Marcus Nakamura $850 per month. That amount was calculated based on Brandon's gross annual income of approximately $52,000 and a shared physical custody arrangement under which each parent exercised parenting time with the parties' two minor children for roughly equal periods of time, satisfying the definition of shared physical custody under Alaska Civil Rule 911(f).</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the entry of the original order, the circumstances of both parties have changed materially. Brandon received a promotion and now earns approximately $74,000 per year, an increase of approximately $22,000 annually from his income at the time the order was entered. Marcus, by contrast, has experienced a significant reduction in income. Due to a medical condition that requires him to limit his working hours, Marcus now earns approximately $38,000 per year, a reduction of approximately $14,000 annually from his prior income level.</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parenting arrangement has also changed substantially. Brandon relocated to a different part of Anchorage for work. As a consequence of that relocation, the children have come to reside primarily with Marcus, who now exercises parenting time approximately 70 percent of the time. Brandon's parenting time has correspondingly decreased to approximately 30 percent of the time. Under Civil Rule 90.3(f), this arrangement no longer qualifies as shared physical custody and instead constitutes primary physical custody in Marcus's favor.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existing order of $850 per month does not account for Brandon's increased income, Marcus's decreased income, or the change from a shared custody arrangement to a primary custody arrangement with the children residing predominantly with Marcus. Marcus now petitions this Court for an upward modification of child support to approximately $1,400 per month.</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25.24.977, a court may, upon motion of either party, set aside, alter, or modify a prior judgment providing for the maintenance of minor children. Modification of a child support order is authorized when a material change in circumstances has occurred since the entry of the prior order. AS 25.24.170(b) expressly provides that a material change in circumstances exists when modification of the order would result in a support amount that differs significantly from the currently ordered amount.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Child support in Alaska is governed by Civil Rule 90.3, which establishes the framework for calculating support based on each parent's adjusted annual income and the physical custody arrangement. Civil Rule 90.3(b)(1) governs the calculation of child support in cases of shared physical custody, while Civil Rule 90.3(a) governs calculation when one parent holds primary physical custody. When parenting time has shifted such that one parent now has primary custody, recalculation under the primary custody formula is required.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material change in circumstances sufficient to justify modification of a child support order may arise from a change in a parent's income, a change in the physical custody arrangement, or both. The Alaska Supreme Court has recognized that a substantial change in the parties' custody arrangement, from shared to primary custody, itself constitutes a material change in circumstances requiring recalculation of the child support obligation. Mitchell v. Mitchell, 370 P.3d 1070 (Alaska 2016). The court has further recognized that a change in income affecting the amount of support that would be calculated under the guidelines by at least 15 percent is presumed to constitute a material change in circumstances. Nicholas Ryan Dunn v. Dakota Christine Jones, 451 P.3d 375 (Alaska 2019). In determining whether and how to modify a support obligation, the court must consider the needs and financial abilities of both parents. Curley v. Curley, 588 P.2d 289 (Alaska 1979); Headlough v. Headlough, 639 P.2d 1010 (Alaska 1982).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When the supporting parent's income exceeds $138,000 annually, Civil Rule 90.3(c)(2) governs and allows the court to make an additional award only if just and proper. Brandon's income does not reach that threshold, and therefore the standard guideline calculations under Civil Rule 90.3(a) apply to this motion.</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A Material Change in Circumstances Has Occurred, Warranting Modification of the Existing Child Support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Modification of a child support order requires a showing of a material change in circumstances. AS 25.24.170(a). Three independent and compounding changes in circumstances have occurred since the entry of the 2021 order, each of which independently supports modification and which together make an upward modification plainly warranted.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First, Brandon's income has increased substantially. At the time the original order was entered, Brandon earned approximately $52,000 per year. He now earns approximately $74,000 per year following a promotion, an increase of more than 42 percent. This increase is substantial and well exceeds the threshold at which a presumption of material change arises. Nicholas Ryan Dunn v. Dakota Christine Jones, 451 P.3d 375 (Alaska 2019).</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Second, Marcus's income has decreased materially. At the time of the original order, Marcus earned approximately $52,000 per year. He now earns approximately $38,000 annually due to a medical condition that requires reduced work hours. This reduction of approximately $14,000 per year represents a change of nearly 27 percent in his income, further widening the income disparity between the parties since the time the original order was entered. The court is required to consider the financial abilities of both parents when evaluating the need to modify support. Curley v. Curley, 588 P.2d 289 (Alaska 1979). Marcus's reduced earning capacity is a factor the court must weigh in determining the appropriate level of support, as the existing order fails to reflect the current economic reality of either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Third, and perhaps most significantly from a guidelines standpoint, the physical custody arrangement has changed from shared custody to primary custody in Marcus's favor. The original order was based on a shared physical custody calculation under Civil Rule 90.3(b)(1), which accounts for the fact that both parents bear direct expenditures on the children during their respective periods of custody. That premise no longer reflects reality. The children now reside with Marcus approximately 70 percent of the time and with Brandon approximately 30 percent of the time. Alaska Civil Rule 90.3(f) defines shared physical custody as the children residing with each parent for at least 30 but no more than 70 percent of the year. At exactly 70 percent primary time for Marcus, the arrangement now falls at the outer boundary of or beyond the shared custody definition, and the applicable calculation framework must be revisited accordingly. The Alaska Supreme Court has held that a shift from shared to primary custody constitutes a material change in circumstances requiring recalculation of the child support obligation. Mitchell v. Mitchell, 370 P.3d 1070 (Alaska 2016).</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combined effect of these three simultaneous changes, a large income increase for Brandon, a significant income decrease for Marcus, and a shift in the custody arrangement to primary custody in Marcus's favor, constitutes a material change in circumstances under AS 25.24.170(a) and requires reconsideration of the existing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Modified Child Support Amount Should Reflect Brandon's Current Income and the Primary Custody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Having established a material change in circumstances, this Court must recalculate child support in accordance with Civil Rule 90.3. Because the children now reside with Marcus approximately 70 percent of the time, the applicable framework is the primary custody formula set forth in Civil Rule 90.3(a), rather than the shared custody formula that formed the basis of the original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90.3(a), child support is calculated as a percentage of the non-custodial parent's adjusted annual income based on the number of children. For two children, the applicable percentage produces a guideline obligation that, when applied to Brandon's current income of approximately $74,000 per year, results in a monthly support obligation of approximately $1,400. This amount more accurately reflects Brandon's current ability to pay and the financial burden Marcus bears as the primary residential parent. The court is authorized and directed by AS 25.27.060(a) to carefully consider the need for support, the ability of both parents to meet their support obligations, and the economic ability of the parents to pay.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requested modification to $1,400 per month is also consistent with the principle, recognized by the Alaska Supreme Court, that child support should reflect the needs of the children as well as the financial realities of both parents. Headlough v. Headlough, 639 P.2d 1010 (Alaska 1982); Curley v. Curley, 588 P.2d 289 (Alaska 1979). Marcus now bears the preponderance of the direct daily expenses associated with raising the two children, including housing, food, clothing, transportation, and other necessities. Brandon's income has grown substantially while Marcus's has declined due to circumstances beyond his control. The existing order of $850 per month, entered when incomes were comparable and parenting time was roughly equal, does not come close to reflecting the current state of affairs.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Where the guideline calculation under Civil Rule 90.3(a) would produce a significantly different result from the existing order, the court must apply the guideline amount unless good cause exists under Civil Rule 90.3(c)(1) to vary from it. No such variation is warranted here. To the contrary, the guideline amount serves the purpose of the support framework, which is to ensure that children benefit from the financial resources of both parents in a manner proportional to each parent's ability to contribute. Halvers v. Pruitt, 342 P.3d 932 (Alaska 2000) (addressing proper calculation of child support where there is a significant disparity between a parent's reported salary and actual income). The goal of the guidelines is to produce a just and proper amount for the parties to contribute toward the nurture and education of their children, and the requested modification accomplishes exactly that objective.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Court Should Ensure That the Modified Order Accurately Reflects the Residential Schedule and Income of Both Parties.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When recalculating child support following a change in physical custody, the court must apply the formula that corresponds to the actual, operative custody arrangement. Holmes v. Holmes, 414 P.3d 662 (Alaska 2018) (addressing proper identification and calculation of the applicable custody category for child support purposes). If the children reside with Marcus 70 percent of the time, the primary custody formula under Civil Rule 90.3(a) governs. If the arrangement is treated as shared custody at the 70 percent boundary, the court should apply Civil Rule 90.3(b)(1), which accounts for both parents' incomes and their respective percentages of parenting time. Under either calculation, the result under current income figures substantially exceeds $850 per month and supports the requested modification to approximately $1,400 per month.</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should also take into account, when establishing the modified order, that Marcus's reduced income is attributable to a medical condition requiring reduced working hours, not to voluntary underemployment. The Alaska Supreme Court has addressed the significance of distinguishing between voluntary and involuntary reductions in income when calculating support obligations. Wilhour v. Wilhour, 308 P.3d 884 (Alaska 2013). Marcus's reduction in working hours is medically necessitated, not a voluntary choice, and imputing income to him at his prior earning level would be inappropriate under these circumstances. The court must take Marcus's actual current income of approximately $38,000 per year as the operative figure for any calculation involving his income.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modification Marcus requests is grounded in the plain operation of the guidelines, supported by demonstrated material changes in both the custody arrangement and the parties' incomes, and is necessary to ensure that the children's financial needs are met in a manner that is equitable and proportional to both parents' current circumstances.</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Marcus Nakamura respectfully requests that this Court enter an order modifying the existing child support order to require Brandon Nakamura to pay approximately $1,400 per month in child support, effective as of the date of the filing of this motion or such earlier date as the Court deems appropriate. This modification is warranted under AS 25.24.170(a) based on the material changes in circumstances that have occurred since the entry of the 2021 order, including Brandon's substantial increase in income, Marcus's medically necessitated decrease in income, and the shift from shared to primary physical custody in Marcus's favor. The requested modification is consistent with the guidelines set forth in Civil Rule 90.3, serves the best interests of the children, and reflects the current financial realities of both parties.</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2026-08-17T02:10:58.444Z</dcterms:created>
  <dcterms:modified xsi:type="dcterms:W3CDTF">2026-08-17T02:10:58.444Z</dcterms:modified>
</cp:coreProperties>
</file>

<file path=docProps/custom.xml><?xml version="1.0" encoding="utf-8"?>
<Properties xmlns="http://schemas.openxmlformats.org/officeDocument/2006/custom-properties" xmlns:vt="http://schemas.openxmlformats.org/officeDocument/2006/docPropsVTypes"/>
</file>