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Petrova respectfully requests that this Court modify the existing child support order entered in 2021, which currently requires Respondent Michael Petrova to pay $850 per month in child support. Two distinct and substantial changes in circumstances have occurred since that order was entered: Michael's annual income has increased from $62,000 to approximately $94,000, and the parties' custody arrangement has shifted from roughly equal shared physical custody to a schedule in which the two minor children reside primarily with Priya during the school week and spend only alternating weekends with Michael. Neither of these material changes has been captured in any court order. Because Alaska law requires that child support obligations accurately reflect current income and custody realities, Priya respectfully asks this Court to recalculate support under Civil Rule 982, enter a modified order reflecting Michael's substantially higher earnings, and formally recognize the de facto primary physical custody arrangement that has been in place since early 2023.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Petrova and Michael Petrova divorced in 2021. At the time of the divorce, the court entered a child support order requiring Michael to pay $850 per month. That calculation was based on Michael's annual salary of $62,000 as a commercial electrician, Priya's part-time income of approximately $24,000 per year, and a roughly equal shared physical custody arrangement for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that order, circumstances have changed materially in two respects. First, Michael accepted a supervisory position with an Anchorage electrical contractor and now earns approximately $94,000 per year, an increase of approximately $32,000 annually over his income at the time of the last order. Second, beginning in early 2023, the parties informally modified their custody schedule. The two children now reside with Priya during the school week and spend only alternating weekends with Michael. This arrangement places the children with Priya for the substantial majority of the year, well above the 70 percent threshold that defines primary physical custody under Alaska Civil Rule 936(f). This de facto change in the residential schedule has never been memorialized in a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continues to work part-time and earns approximately $27,000 per year, a modest increase from her income at the time of the original order. The current $850 monthly support obligation does not account for Michael's significantly higher income, does not reflect the current custody schedule, and no longer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support order upon a showing of a material change in circumstances. AS 25.24.170 provides that "any time after judgment the court, upon the motion of either party, may set aside, alter, or modify so much of the judgment as may provide for . . . the appointment of trustees for the care and custody of the minor children or for their nurture and education." Additionally, AS 25.20.110(a) provides that "an award of custody of a child or visitation with the child may be modified if the court determines that a change in circumstances requires the modification of the award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90.3(h)(1) establishes that a material change of circumstances is presumed when support as calculated under the rule is more than 15 percent greater or less than the outstanding support order. Once a material change is established, the court recalculates support in accordance with Civil Rule 90.3. Civil Rule 90.3(a) governs cases of primary physical custody, providing that child support is calculated "as an amount equal to the adjusted annual income of the non-custodial parent multiplied by a percentage specified in subparagraph (a)(2) under all circumstances." For two children, that percentage is 27 percent. Civil Rule 90.3(b) governs shared physical custody calculations and applies only when a parent has custody for at least 30 but no more than 70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child support calculations must adhere to the framework established by Civil Rule 90.3. Mitchell v. Mitchell, 370 P.3d 1070 (Alaska 2016); Shanigan v. Shanigan, 386 P.3d 1238 (Alaska 2017). Courts have also recognized that a change in custody status, from shared to primary, alters the applicable formula and supports modification.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Based on Michael's Substantially Increased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annual income has risen from $62,000 at the time of the original order to approximately $94,000 today, an increase of more than $32,000 per year. This represents a change of more than 50 percent in gross income. Under the original order, support of $850 per month was calculated based on the shared custody formula under Civil Rule 90.3(b). Recalculating under the primary custody formula applicable to the current de facto arrangement, and using Michael's current adjusted annual income, yields a monthly support obligation substantially greater than 15 percent above the existing order. This presumptive material change in circumstances satisfies the threshold for modification under AS 25.24.170 and AS 25.27.060.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Shanigan v. Shanigan, 386 P.3d 1238 (Alaska 2017), the Alaska Supreme Court affirmed that a change in income that causes a more than 15 percent deviation from the existing support order constitutes a presumptive material change of circumstances warranting recalculation. The same principle applies here. Michael's income increase is not marginal. It reflects a sustained and voluntary career advancement, not a temporary fluctuation, and it has been ongoing since he accepted his supervisory role with the Anchorage contractor.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enumerated mandatory deductions. For two children in the primary physical custody of one parent, Civil Rule 90.3(a)(2) specifies that "the percentage by which the non-custodial parent's adjusted income must be multiplied in order to calculate the child support award is . . . 27% (.27) for two children." Applying this percentage to Michael's adjusted annual income of approximately $94,000, and accounting for applicable deductions, yields a monthly child support obligation significantly greater than $850. The precise calculation will depend on Michael's verified adjusted annual income, which Priya respectfully requests the Court determine through disclosure of current income documentation.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Mitchell v. Mitchell, 370 P.3d 1070 (Alaska 2016), confirmed that a court acts within its discretion when it bases a child support award on the obligor parent's actual gross income and applies the Civil Rule 90.3 formula to that figure. The same approach is warranted here. Michael's increased earnings capacity is not speculative. His employment with the Anchorage contractor at a supervisory level represents a documented and voluntary occupational advancement. The children are entitled to support that reflects their father's current ability to pay.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A Material Change in Circumstances Also Exists Based on the De Facto Shift to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income change, the parties' custody arrangement has fundamentally changed. Since early 2023, the two children have lived primarily with Priya during the school week and have spent only alternating weekends with Michael. This schedule gives Michael physical custody for significantly less than 30 percent of the year, removing him from the shared physical custody category altogether under Civil Rule 90.3(f) and placing Priya squarely in the role of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90.3(b)(1) governs child support in shared custody cases, which are defined as arrangements in which each parent has the children for at least 30 but no more than 70 percent of the year. The alternating-weekend schedule currently in practice gives Michael the children for far less than 30 percent of the year. As a result, the shared custody formula of Civil Rule 90.3(b) no longer applies, and the primary custody formula of Civil Rule 90.3(a) governs. This change in custody classification is itself a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Holmes v. Holmes, 414 P.3d 662 (Alaska 2018), the Alaska Supreme Court recognized that the applicable child support formula turns on the actual custody arrangement, specifically on whether each parent has the children for at least 30 percent of the year as reflected in the custody order. Here, the de facto custody schedule has departed significantly from the 2021 order. Even though no formal modification order has been entered, the court should give effect to the actual residential arrangement in calculating support, and should simultaneously enter an order reflecting the current schedule. The children's welfare is best served by ensuring that support obligations correspond to the parenting realities both parties have been living under for more than two years.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change from a shared custody arrangement to what is functionally a primary custody arrangement also bears directly on the appropriate formula to apply. Under Civil Rule 90.3(b)(1)(C), the shared custody calculation yielded a net offset figure based on the incomes and custody percentages of both parents. That calculation is no longer appropriate when one parent has the children for well below 30 percent of the year. The correct calculation is now governed by Civil Rule 90.3(a), which multiplies Michael's adjusted annual income by 27 percent for two children. This shift in formula, combined with Michael's increased income, results in a substantially higher monthly obligation than the current $850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Modification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modification of a custody or support arrangement must be in the best interests of the child. Here, both components of Priya's requested modification, the upward income recalculation and the formal recognition of the de facto custody schedule, plainly serve the children's best interests. The children reside primarily with Priya and depend on her to meet their daily needs during the school week. The current support amount, calculated years ago based on lower incomes and an equal custody split, does not adequately account for the disproportionate financial burden now borne by Priya.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income has increased substantially, and he is fully capable of contributing more to the children's support. Flannery v. Flannery, 950 P.2d 126 (Alaska 1997), recognized that child support determinations must account for the supporting parent's actual financial capacity and the children's standard of living. An upward modification to reflect Michael's $94,000 annual income is consistent with both the guidelines and the children's right to share in their father's financial success.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formalizing the current custody arrangement in a court order is in the children's best interests because it provides stability, clarity, and legal certainty regarding where the children reside and how parenting time is allocated. AS 25.20.110(a) requires the court to enter on the record its reasons for modification when a parent opposes it; Priya provides the factual and legal basis for that finding here through the documented change in the children's residential schedule since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Correct Child Support Amount Should Be Calculated Under Civil Rule 90.3(a) Using Michael's Current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two-step analysis required in this case is straightforward. First, the Court should recognize that the current de facto custody arrangement qualifies as primary physical custody in Priya's favor, triggering Civil Rule 90.3(a). Second, the Court should apply the 27 percent multiplier to Michael's adjusted annual income, as required by Civil Rule 90.3(a)(2)(B)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the deductions available to reduce gross income to adjusted annual income, including mandatory taxes, Social Security contributions, Medicare tax, mandatory union dues, mandatory retirement contributions, and certain voluntary retirement contributions up to 7.5 percent of total income. Priya respectfully requests that this Court order Michael to provide current income documentation so that his adjusted annual income can be precisely determined and the correct monthly obligation calculated. Priya estimates, based on publicly available wage information, that Michael's adjusted annual income after applicable deductions is approximately $82,000 to $86,000, yielding a monthly child support obligation in the range of approximately $1,845 to $1,935 per month, which represents a substantial increase over the existing $850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Peter Chapman v. Julia Chapman, 525 P.3d 281 (Alaska 2025), the Alaska Supreme Court addressed a situation in which a party sought to modify child support based on income information reflected in tax returns, confirming that the court may rely on documented income evidence to determine the appropriate support level under Civil Rule 90.3. The same principle supports using Michael's current employment and salary documentation to anchor the recalculation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further notes that if the Court finds Michael has taken steps to limit his reported income or has voluntarily reduced his earnings capacity in any respect, the Court retains authority under Civil Rule 90.3(a)(4) to impute potential income based on Michael's demonstrated earning capacity, employment history, job skills, and the prevailing wage levels in the Anchorage electrical trade.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child support order of $850 per month no longer reflects the parties' actual financial circumstances or the children's residential arrangement. Michael's annual income has increased by more than $32,000, the custody schedule has shifted to place the children primarily in Priya's care, and more than three years have passed since the order was entered without any modification. Each of these facts independently supports a finding of material change in circumstances under AS 25.24.170, AS 25.20.110, and Civil Rule 90.3. Together, they compel an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Petrova respectfully requests that this Court: (1) find that a material change in circumstances exists based on Michael's substantially increased income and the de facto shift to primary physical custody; (2) formally recognize Priya as the primary physical custodian of the parties' two minor children consistent with the residential schedule in place since early 2023; (3) recalculate child support under Civil Rule 90.3(a) using Michael's current adjusted annual income of approximately $94,000; and (4) enter a modified child support order consistent with those findings, effective as of the date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entitled to support that reflects both parents' current financial realities and the actual division of parenting responsibilities. Justice and the guidelines both require a modification.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2026-08-17T02:12:15.280Z</dcterms:created>
  <dcterms:modified xsi:type="dcterms:W3CDTF">2026-08-17T02:12:15.280Z</dcterms:modified>
</cp:coreProperties>
</file>

<file path=docProps/custom.xml><?xml version="1.0" encoding="utf-8"?>
<Properties xmlns="http://schemas.openxmlformats.org/officeDocument/2006/custom-properties" xmlns:vt="http://schemas.openxmlformats.org/officeDocument/2006/docPropsVTypes"/>
</file>