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Sutter petitions this Court to modify the existing child support order entered in 2021. Two material changes in circumstances have occurred since that order was entered. First, Brandon Sutter's annual income has increased from $52,000 to $84,000, a substantial rise that was not reflected in the original calculation. Second, the children's residential arrangement has shifted so that they now reside primarily with Marcus approximately 70 percent of the time, fundamentally altering the custody structure assumed when the original order was crafted. Because both changes are substantial and independently sufficient to justify modification, and because the revised calculation under Alaska Civil Rule 90.3 would produce a child support amount more than 15 percent greater than the outstanding order, this Court should grant Marcus's petition and recalculate child support in accordance with current law and the parties' present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Sutter and Brandon Sutter were divorced in 2021. At the time of the divorce decree, the superior court entered a child support order based on Brandon's annual income of $52,000 as a commercial fisherman and Marcus's annual income of $38,000 as a retail store manager. The original order was calculated under a shared physical custody framework reflecting a near-equal parenting time arrangement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that order, two significant changes have occurred. Brandon accepted a salaried position as a logistics coordinator earning $84,000 per year, a departure from his prior seasonal commercial fishing income of $52,000. Marcus's income has remained largely unchanged at approximately $40,000 per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income change, the parties have informally modified their parenting schedule. The children now reside with Marcus approximately 70 percent of the time, making Marcus the primary physical custodian in functional terms. This shift from a near-equal parenting arrangement to one in which the children live with Marcus the substantial majority of the time represents a material departure from the custody structure on which the original child support calculation was premised.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now seeks a modification of the existing child support order to account for Brandon's substantially increased income and the children's current primary residence with Marcus.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upon a showing of a material change in circumstances. Under AS 25.24.170(a), after judgment a court may set aside, alter, or modify provisions of a judgment that address the maintenance of the parties or the care and custody of minor children. The statute authorizes modification any time upon the motion of either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Civil Rule 90.3 governs the calculation of child support in Alaska. Where one parent has primary physical custody, child support is calculated as an amount equal to the adjusted annual income of the non-custodial parent multiplied by a percentage set by the rule based on the number of children. Civil Rule 90.3(a). For two children, that percentage is 27 percent. Civil Rule 90.3(a)(2)(B). A material change in circumstances is presumed when support as recalculated under Civil Rule 90.3 would be more than 15 percent greater or less than the outstanding support order. See Hixson v. Sarkesian, 123 P.3d 1072 (Alaska 2005);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base a child support calculation on a determination of a parent's potential income when a parent is voluntarily and unreasonably unemployed or underemployed. Civil Rule 90.3(a)(4). A parent may be found voluntarily underemployed when the parent's current earnings reflect a decision to earn less than the parent is capable of earning. Civil Rule 90.3(a)(4)(A). That provision is not at issue here, as Brandon's current salary of $84,000 reflects actual, documented employment income.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Based on Brandon's Substantially Increased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most straightforward basis for modification is the significant increase in Brandon's annual income. At the time of the original order, Brandon earned $52,000 per year as a commercial fisherman. He now earns $84,000 per year as a salaried logistics coordinator. This represents an increase of $32,000 in gross annual income, or approximately 61.5 percent above his income at the time the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recognized that a substantial change in the income of either party is a recognized ground for modification of child support. In Shanigan v. Shanigan, 386 P.3d 1238 (Alaska 2017), the Alaska Supreme Court confirmed that the 15 percent threshold test under Civil Rule 90.3 is the appropriate measure for determining whether a material change of circumstances has occurred with respect to child support. In Hixson v. Sarkesian, 123 P.3d 1072 (Alaska 2005), the court similarly applied Civil Rule 90.3's formula to determine whether a change in a parent's income was sufficient to trigger a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child support in a primary custody case is calculated as the adjusted annual income of the non-custodial parent multiplied by the applicable percentage. For two children, that percentage is 27 percent. Civil Rule 90.3(a)(2)(B). Based on Brandon's current gross income of $84,000, even before accounting for all allowable deductions, the preliminary calculation demonstrates a support figure materially in excess of what was ordered in 2021 based on $52,000 in income. The difference between the calculation at $52,000 and the calculation at $84,000 greatly exceeds the 15 percent threshold that presumptively establishes a material change of circumstances. This Court should therefore find that a material change in circumstances exists based on Brandon's income increase alone.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A Material Change in Circumstances Also Exists Based on the Shift in the Children's Primary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Independent of the income change, the shift in the children's residential arrangement constitutes a separate and equally compelling basis for modification. The original child support order was calculated under a shared physical custody framework reflecting a near-equal parenting time split. The children now reside with Marcus approximately 70 percent of the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distinction between shared physical custody and primary physical custody is significant under Alaska law and directly affects the child support calculation. In Holmes v. Holmes, 414 P.3d 662 (Alaska 2018), the Alaska Supreme Court explained that a parent has primary physical custody when the children reside with that parent for a period specified in writing in the custody order of more than 70 percent of the year, and that shared physical custody exists when the children reside with a parent for at least 30 but no more than 70 percent of the year. The court in Holmes further confirmed that the applicable child support formula, and thus the support amount owed, differs depending on which custody category applies, with primary physical custody cases governed by Civil Rule 90.3(a) and shared custody cases governed by a separate shared-custody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children's current residential arrangement places Marcus at or approaching the threshold for primary physical custody. At 70 percent, Marcus is at the upper boundary of the shared custody range and approaching the primary custody threshold. Regardless of the precise label applied, the shift from a near-equal split to a 70-percent-with-Marcus arrangement represents a substantial departure from the custody structure on which the original order was premised. This shift directly affects both the appropriate formula to apply and the resulting support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Swaney v. Granger, 297 P.3d 132 (Alaska 2013), reinforces the importance of applying the correct Civil Rule 90.3 methodology to the actual custody arrangement in place at the time of modification. In that case, the Alaska Supreme Court vacated a child support modification order and remanded for recalculation because the superior court had not conformed its analysis to the requirements of Rule 90.3(a). The same principle applies here: the current child support order was calculated under a framework that no longer reflects the children's actual living arrangement, and it must be recalculated under the formula appropriate to their present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further recognized that courts must examine the custody arrangement as it actually exists when calculating or modifying support. Gorton v. Mann, 281 P.3d 81 (Alaska 2012), illustrates that the percentage of time each parent actually has custody of the children is a controlling factor in the Rule 90.3 calculation. In Gorton, the court carefully examined the actual percentage of time each parent had custody and applied the appropriate formula based on those findings. This Court should do the same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Combined Effect of Both Changes Requires Recalculation Under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both changed circumstances are considered together, the case for recalculation under Civil Rule 90.3 is compelling. Brandon's income has increased by more than 60 percent. The children's primary residence has shifted substantially in favor of Marcus. The original order reflects neither of these realities.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a child support award where one parent has primary physical custody is calculated as the adjusted annual income of the non-custodial parent multiplied by the applicable percentage. For two children, that percentage is 27 percent of the non-custodial parent's adjusted annual income. Civil Rule 90.3(a)(2)(B). Adjusted annual income is defined as total income from all sources minus the mandatory and authorized deductions specified in Civil Rule 90.3(a)(1). These deductions include mandatory items such as federal, state, and local income tax; Social Security tax; Medicare tax; mandatory union dues; and mandatory contributions to a retirement or pension plan, as well as certain authorized voluntary contributions and other permitted deductions.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illustrated in Peter Chapman v. Julia Chapman, 563 P.3d 1155 (Alaska 2025), courts must carefully examine a parent's actual income, including all documented sources, when determining the appropriate child support obligation under Civil Rule 90.3. In that case, the Alaska Supreme Court addressed how a parent's full income, as reflected in tax filings, must be accounted for in the Rule 90.3 calculation. Here, Brandon's income is straightforwardly documented: he earns an $84,000 annual salary as a logistics coordinator, which is his primary source of income and should form the basis of the adjusted annual income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respectfully submits that after accounting for allowable deductions under Civil Rule 90.3(a)(1), Brandon's adjusted annual income will be substantially higher than it was at the time of the original order, and the resulting child support obligation, calculated at 27 percent of that adjusted income for two children, will far exceed the amount currently ordered. The modification requested is not a windfall for Marcus; it is the result that Alaska law requires when income increases significantly and the children's primary residence changes materially.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Modification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child support must serve the best interests of the children. AS 25.20.110(a) provides that an award of custody or visitation may be modified when a change in circumstances requires modification and the modification is in the best interests of the child. Although AS 25.20.110 speaks primarily to custody modifications, the principle that child-related orders must serve the children's best interests pervades Alaska family law and applies with equal force to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consistently recognized that accurate, current child support awards are essential to the well-being of children. Richardson v. Kohlin, 175 P.3d 43 (Alaska 2008), illustrates the importance of keeping child support orders current and accurate in light of changing circumstances, consistent with the requirements of Civil Rule 90.3. Berkbigler v. Berkbigler, 921 P.2d 628 (Alaska 1996), similarly reflects that the child support framework is designed to ensure that support levels accurately track the supporting parent's ability to pay.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children reside primarily with Marcus 70 percent of the time. Marcus bears the daily financial burden of housing, feeding, clothing, and otherwise caring for the children on a primary basis. The current child support order, calculated on an outdated income figure and a custody structure that no longer exists, does not adequately account for Brandon's current capacity to contribute to his children's support or for the financial responsibilities Marcus now shoulders. Modifying the order to reflect current realities directly serves the children's financial well-being and is consistent with the purposes underlying Civil Rule 90.3.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Sutter respectfully requests that this Court grant his petition to modify the existing child support order. Two independent and substantial changes in circumstances have occurred since the 2021 order was entered: Brandon Sutter's annual income has increased from $52,000 to $84,000, and the children's primary residence has shifted to Marcus approximately 70 percent of the time. Each change independently satisfies the material change of circumstances standard under Alaska law. Together, they require a comprehensive recalculation of child support under Civil Rule 90.3(a), using Brandon's current adjusted annual income and the applicable 27 percent multiplier for two children under Civil Rule 90.3(a)(2)(B). Marcus requests that the Court enter a modified child support order consistent with the results of that calculation, effective at the earliest date permitted by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2026-08-17T02:15:49.758Z</dcterms:created>
  <dcterms:modified xsi:type="dcterms:W3CDTF">2026-08-17T02:15:49.758Z</dcterms:modified>
</cp:coreProperties>
</file>

<file path=docProps/custom.xml><?xml version="1.0" encoding="utf-8"?>
<Properties xmlns="http://schemas.openxmlformats.org/officeDocument/2006/custom-properties" xmlns:vt="http://schemas.openxmlformats.org/officeDocument/2006/docPropsVTypes"/>
</file>