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(doc-0185)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Sutter respectfully moves this Court to modify the existing child support order entered in 2021, which currently requires Respondent Wesley Sutter to pay $850 per month in child support. Since that order was entered, Wesley has received a series of significant promotions and now earns approximately $94,000 per year, nearly double his income at the time the original order was established. This substantial increase in Wesley's earnings constitutes a material change in circumstances under Alaska law and warrants an upward modification of the child support obligation in accordance with Civil Rule 90.3. Tomas, who retains primary physical custody of the parties' children and earns approximately $28,000 annually as a part-time dental assistant, seeks a modified monthly support obligation of approximately $1,450 to ensure that the children's ongoing needs for housing, healthcare, and educational expenses are adequately met. The existing order no longer reflects the financial realities of either party, and continued enforcement of the outdated amount works a material injustice on the children whose welfare it is intended to protect.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Sutter and Wesley Sutter were divorced in 2021. At the time of the divorce, the Superior Court entered a child support order requiring Wesley to pay $850 per month in child support. That figure was calculated based on Wesley's then-annual salary of approximately $52,000 and a primary physical custody arrangement in which the parties' children reside with Tomas approximately 70 percent of the time. The custody schedule has remained unchanged since the entry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2021, Wesley has received a series of promotions and now serves as a project manager for a Fairbanks construction firm. His current annual earnings are approximately $94,000, representing an increase of approximately $42,000 per year over his income at the time the original order was entered. This increase is ongoing and reflects Wesley's current employment status rather than a temporary fluctuation.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currently works part-time as a dental assistant and earns approximately $28,000 annually. He remains the primary physical custodian of the children and bears the day-to-day costs associated with their housing, healthcare, and educational needs. Despite rising costs and Wesley's substantially increased earning capacity, the child support order has not been reviewed or adjusted since it was entered in 2021.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recalculation of child support under Civil Rule 90.3, based on Wesley's current adjusted annual income of approximately $94,000, yields a monthly support obligation of approximately $1,450, which is substantially more than 15 percent greater than the existing order of $850 per month. Tomas brings this motion seeking an order modifying the existing child support award to reflect the parties' current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a court may, upon the motion of either party, set aside, alter, or modify a judgment that provides for the maintenance or support of minor children. Any such modification requires a showing of a material change in circumstances. Bunn v. House, 934 P.2d 753 (Alaska 1997). Alaska courts have long recognized that a significant change in one or both parents' income may constitute a material change in circumstances sufficient to justify modification of a child support order. Bunn v. House, 934 P.2d 753 (Alaska 1997); Charlesworth v. State, Child Support Enforcement Division Ex Rel. Charlesworth, 779 P.2d 792 (Alaska 1989).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the calculation of child support in cases where one parent is awarded primary physical custody. Under that rule, the support award is calculated as an amount equal to the adjusted annual income of the non-custodial parent multiplied by a specified percentage. The percentage applied depends on the number of children subject to the order. Civil Rule 90.3(a)(2). A material change in circumstances is presumed when recalculation under Civil Rule 90.3 produces a support amount more than 15 percent greater or less than the outstanding order.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consider whether a parent is voluntarily and unreasonably unemployed or underemployed, and if so, may impute potential income to that parent in calculating support. Civil Rule 90.3(a)(4). Additionally, the court retains authority to ensure that child support calculations accurately reflect each parent's total income from all sources, subject to the deductions specified in Civil Rule 90.3(a)(1). Peter Chapman v. Julia Chapman, 563 P.3d 1155 (Alaska 2025).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WESLEY'S SUBSTANTIALLY INCREASED INCOME CONSTITUTES A MATERIAL CHANGE IN CIRCUMSTANCES UNDER AS 25.24.170 AND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modification proceeding is whether a material change in circumstances has occurred since the entry of the prior order. AS 25.24.170. Alaska courts have consistently held that a significant increase or decrease in a parent's income satisfies this threshold. Bunn v. House, 934 P.2d 753 (Alaska 1997). At the time the original support order was entered in 2021, Wesley earned approximately $52,000 per year. He now earns approximately $94,000 annually, an increase of roughly $42,000, or approximately 81 percent. This is precisely the type of income shift that the Alaska Supreme Court recognized as a material change in circumstances in Bunn v. House, 934 P.2d 753 (Alaska 1997), and in Charlesworth v. State, Child Support Enforcement Division Ex Rel. Charlesworth, 779 P.2d 792 (Alaska 1989).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Moreover, Shanigan v. Shanigan, 386 P.3d 1238 (Alaska 2017), confirms that a material change of circumstances is presumed when a recalculation under Civil Rule 90.3 produces a support obligation more than 15 percent greater than the existing order. As set forth in greater detail in Section IV.B below, the recalculated support obligation based on Wesley's current income is approximately $1,450 per month. This figure exceeds the existing $850 per month order by approximately $600, or roughly 71 percent. The presumption of a material change in circumstances is therefore clearly established, and Wesley cannot overcome that presumption on the facts presented.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PROPER APPLICATION OF CIVIL RULE 90.3(a) TO WESLEY'S CURRENT INCOME YIELDS A MONTHLY SUPPORT OBLIGATION OF APPROXIMATELY $1,450.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that a child support award in a case where one parent holds primary physical custody shall be calculated as an amount equal to the adjusted annual income of the non-custodial parent multiplied by the applicable percentage. Civil Rule 90.3(a)(1) defines adjusted annual income as the parent's total income from all sources minus specified mandatory and permissible deductions, including federal, state, and local income taxes, Social Security and Medicare taxes, mandatory union dues, mandatory retirement contributions, and other enumerated items. Civil Rule 90.3(a)(1)(A)-(G).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gross annual income is approximately $94,000. After applying standard deductions for federal and state income taxes, Social Security taxes, and Medicare taxes as required under Civil Rule 90.3(a)(1)(A), his adjusted annual income is estimated at approximately $64,500, subject to verification through income documentation Wesley is required to provide. Applying the applicable percentage for the number of children subject to the order at 20 percent for one child or 27 percent for two children under Civil Rule 90.3(a)(2)(A)-(B) yields a monthly obligation consistent with Tomas's requested amount of approximately $1,450. This Court should require Wesley to produce current pay stubs, tax returns, and any other income documentation necessary to establish his precise adjusted annual income and thereby ensure that the recalculated obligation is accurate.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Peter Chapman v. Julia Chapman, 563 P.3d 1155 (Alaska 2025), reinforces the importance of careful income verification in modification proceedings. In that case, the Court stressed that child support calculations must accurately account for all sources of income available to the non-custodial parent, not merely W-2 wages. Here, Tomas requests that the Court order Wesley to provide complete income disclosure, including any bonuses, overtime, per diem compensation, or other earnings beyond his base salary, so that the adjusted annual income figure used in the Rule 90.3 calculation reflects the totality of his financial resources.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holding in Swaney v. Granger, 297 P.3d 132 (Alaska 2013), further underscores that child support must be calculated in strict conformity with the analytical framework set forth in Civil Rule 90.3(a). In that case, the Court vacated a modification order because the superior court's determination of the amount owed did not conform to the required Rule 90.3(a) analysis. Swaney v. Granger, 297 P.3d 132 (Alaska 2013). Tomas requests that this Court conduct a thorough Rule 90.3(a) analysis on a complete income record so that the modified award is both legally correct and durable against future challenge.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INCOME SHOULD NOT BE IMPUTED TO TOMAS TO ARTIFICIALLY REDUCE THE MODIFIED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Civil Rule 90.3(a)(4) authorizes a court to calculate child support based on a determination of a parent's potential income when that parent is voluntarily and unreasonably unemployed or underemployed, no such finding is appropriate with respect to Tomas on these facts. Civil Rule 90.3(a)(4)(A) specifies that a parent may be considered voluntarily and unreasonably unemployed or underemployed when the parent's current situation and earnings reflect the parent's decision not to work or to earn less than the parent is capable of earning. Tomas works part-time as a dental assistant earning approximately $28,000 per year, and his schedule accommodates his role as the primary physical custodian of the parties' children. Civil Rule 90.3(a)(4)(E) expressly prohibits a determination of potential income for a parent who is caring for a child under two years of age to whom the parents owe a joint legal responsibility, and broader equitable principles counsel against penalizing a primary custodial parent whose reduced earnings are attributable to childcare responsibilities rather than a deliberate choice to minimize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that Wesley argues Tomas's part-time status warrants imputation of a higher income, Tomas responds that the court must consider the totality of circumstances as required by Civil Rule 90.3(a)(4)(B), including whether his reduced income is temporary, whether it results from economic factors or personal choices, and the extent to which the children will ultimately benefit from his availability as their primary caregiver. On a complete record, those factors weigh against imputation and support the use of Tomas's actual earnings in the Rule 90.3 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AN INCOME WITHHOLDING ORDER SHOULD BE ENTERED TO ENSURE CONSISTENT PAYMENT OF THE MODIFIED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25.27.062, any support order must contain an income withholding provision requiring immediate income withholding. Specifically, AS 25.27.062(a) mandates that a judgment, court order, or order of the agency providing for support must contain an income withholding order, with immediate income withholding required for orders issued or modified on or after July 8, 1994. The existing support order was entered in 2021, well after that date. Accordingly, upon entry of a modified support order reflecting Wesley's updated income, this Court is required by statute to include an income withholding directive ensuring that the modified monthly obligation is withheld directly from Wesley's wages and remitted to the appropriate agency. See also AS 25.27.070 (authorizing courts to order assignment of salary or wages sufficient to satisfy a child support obligation, with priority over other legal process).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income withholding order will protect the children's financial stability and avoid the enforcement difficulties that arise when a non-custodial parent falls into arrears. AS 25.27.062(g) makes clear that an income withholding order has priority over all other attachments, executions, garnishments, or other legal process brought under state law against the same property, ensuring that the children's support is protected from competing claims against Wesley's wages.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MAY TAKE JUDICIAL NOTICE OF RELEVANT INCOME AND EMPLOYMENT INFORMATION TO SUPPORT THE FACTUAL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Alaska R. Evid. 201(d), upon the request of a party, the court shall take judicial notice of each matter specified in subdivision (b) of that rule if the requesting party furnishes sufficient information and has given each party adequate notice to enable the party to meet the request. Tomas respectfully requests that the Court take judicial notice of publicly available wage and salary information for construction project managers in the Fairbanks area to corroborate the income levels attributed to Wesley in this motion, to the extent such information is of a type subject to judicial notice under that rule. This information, combined with Wesley's own income documentation, will provide the Court with a reliable factual foundation for the Rule 90.3 recalculation.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undisputed increase in Wesley Sutter's annual income from approximately $52,000 at the time of the 2021 order to approximately $94,000 today constitutes a material change in circumstances that clearly justifies upward modification of the existing child support obligation under AS 25.24.170 and Civil Rule 90.3. The recalculated monthly obligation of approximately $1,450, derived from application of the Civil Rule 90.3(a) formula to Wesley's current adjusted annual income, exceeds the existing $850 order by more than 15 percent, establishing the presumption of a material change of circumstances as recognized in Shanigan v. Shanigan, 386 P.3d 1238 (Alaska 2017). The modification Tomas seeks is firmly grounded in Alaska statutory and rule-based authority, and it reflects the children's genuine and ongoing needs for housing, healthcare, and educational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these reasons, Tomas Sutter respectfully requests that this Court enter an order: (1) finding that a material change in circumstances has occurred since the entry of the 2021 child support order; (2) modifying the child support obligation to approximately $1,450 per month, calculated in strict conformity with Civil Rule 90.3(a) based on complete and verified income disclosure from both parties; (3) including a mandatory income withholding provision in the modified order as required by AS 25.27.062; and (4) granting such other and further relief as this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2026-08-17T02:17:10.409Z</dcterms:created>
  <dcterms:modified xsi:type="dcterms:W3CDTF">2026-08-17T02:17:10.409Z</dcterms:modified>
</cp:coreProperties>
</file>

<file path=docProps/custom.xml><?xml version="1.0" encoding="utf-8"?>
<Properties xmlns="http://schemas.openxmlformats.org/officeDocument/2006/custom-properties" xmlns:vt="http://schemas.openxmlformats.org/officeDocument/2006/docPropsVTypes"/>
</file>