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Petrova moves this Court for an upward modification of the existing child support order entered in 2021. Two independent grounds, each sufficient on its own to warrant relief, support this motion. First, Respondent Wesley Petrova's annual income has increased from $52,000 to approximately $84,000, representing a substantial change in the financial circumstances upon which the original order was premised. Second, the parenting plan was modified in early 2024 such that Tomas now exercises approximately 70 percent of custodial time with the parties' two minor children, converting the arrangement from one of shared physical custody to one of primary physical custody in Tomas's favor. Because the support obligation calculated under Alaska Civil Rule 90.3 using Wesley's current income and the revised custody schedule will exceed the existing order by well more than 15 percent, a material change of circumstances is presumed as a matter of law. The children's day-to-day costs for housing, childcare, and extracurricular activities have grown significantly under Tomas's primary care, and fairness demands that Wesley's support obligation reflect both his enhanced earning capacity and his reduced share of custodial time. Tomas respectfully requests that this Court enter a new child support order consistent with the parties' current financial circumstances and the controlling Alaska support guidelines.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Petrova and Wesley Petrova were divorced in 2021. At the time of the divorce, the court entered a child support order based on Wesley's annual income of $52,000 and Tomas's annual income of $38,000. The parties shared physical custody of their two minor children on an equal basis, meaning each parent exercised custody for approximately 50 percent of the year. The support calculation under that arrangement reflected both the shared-custody framework and the incomes disclosed at that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Wesley accepted a new position as a project manager, and Wesley's annual income has increased to approximately $84,000 per year. This increase of roughly $32,000 annually represents a rise of more than 60 percent above the income figure used in the original support calculation. Wesley's new income was not known or foreseeable at the time the 2021 order was entered, and the current support obligation does not account for Wesley's substantially greater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Separately, in early 2024, the parties' parenting plan was modified by court order. Following that modification, Tomas exercises approximately 70 percent of the custodial time with the children. Wesley's share of custodial time has correspondingly decreased to approximately 30 percent. Under Alaska Civil Rule 90.3, this shift moves the arrangement from shared physical custody, which requires a different and more complex calculation, to one in which Tomas holds primary physical custody and Wesley is the non-custodial parent for purposes of support calculations.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parent bearing primary custodial responsibility, Tomas incurs substantially greater day-to-day expenses for the children, including costs associated with housing, childcare, and extracurricular activities. These increased costs have not been offset by any adjustment to the existing support order. Tomas brings this motion to ensure that the children's financial needs are met in accordance with both parents' current ability to contribute.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order upon a showing of a material change of circumstances. AS 25.24.170(a) authorizes the court, upon motion of either party, to set aside, alter, or modify a judgment that provides for the maintenance of the parties or for child-related support. AS 25.24.170(b) further provides that a modification of child support may be made without an independent showing of a material change in circumstances when the existing order has not been modified or adjusted during the three years preceding the periodic modification, as necessary to comply with applicable federal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Civil Rule 90.3(a) governs the calculation of child support when one parent holds primary physical custody, defining the award as an amount equal to the non-custodial parent's adjusted annual income multiplied by a percentage determined by the number of children. For two children, that percentage is 27 percent. Civil Rule 90.3(a)(1) defines adjusted annual income as the parent's total income from all sources, subject to specified mandatory and permissible deductions. Civil Rule 90.3(a)(4) permits the court to calculate support based on the potential income of a parent who voluntarily and unreasonably is unemployed or underemployed.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when child support calculated under the applicable rule is more than 15 percent greater or less than the outstanding order. This presumption is well-established in Alaska case law. In Berkbigler v. Berkbigler, 921 P.2d 628 (Alaska 1996), the Alaska Supreme Court confirmed that the 15 percent threshold triggers the presumption of a material change in circumstances under Civil Rule 90.3. In Shanigan v. Shanigan, 386 P.3d 1238 (Alaska 2017), the Alaska Supreme Court applied this same framework in a modification proceeding, confirming that the petitioning party need only demonstrate that support calculated under the current guidelines exceeds or falls below the existing order by more than 15 percent to establish the presumption. In Bunn v. House, 934 P.2d 753 (Alaska 1997), the Alaska Supreme Court confirmed that changes in income and changes in custodial or visitation patterns may each independently constitute a material change in circumstances supporting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moving party must also demonstrate that modification serves the best interests of the children. AS 25.20.960 requires that, where a custody-related modification has already occurred, the court consider whether the modification of the corresponding support arrangements is consistent with the children's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 MATERIAL CHANGE OF CIRCUMSTANCES EXISTS AND MODIFICATION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separate and independently sufficient grounds establish a material change of circumstances in this case: Wesley's dramatically increased income, and the shift in the custodial arrangement that has made Tomas the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Wesley's Increased Income Constitutes a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original 2021 child support order was calculated using Wesley's annual income of $52,000. Wesley now earns approximately $84,000 per year. This increase of approximately $32,000 represents a rise of more than 60 percent above the baseline figure used to set the existing order. Under Civil Rule 90.3(a), child support for two children in a primary custody arrangement is calculated at 27 percent of the non-custodial parent's adjusted annual income. Applying this percentage to Wesley's current income produces a support obligation substantially greater than the amount currently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Shanigan v. Shanigan, 386 P.3d 1238 (Alaska 2017), the Alaska Supreme Court confirmed that the court must apply the Rule 90.3(a)(2) formula to the non-custodial parent's current adjusted annual income and that a difference of more than 15 percent between the calculated amount and the existing order establishes a presumed material change of circumstances. The difference between support calculated on $84,000 in annual income at 27 percent and support calculated on $52,000 at whatever blended rate applied under the prior shared-custody framework far exceeds the 15 percent threshold. Modification is therefore presumed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Berkbigler v. Berkbigler, 921 P.2d 628 (Alaska 1996), the Alaska Supreme Court affirmed that increases in a parent's income are among the paradigmatic circumstances triggering modification of child support. In Bunn v. House, 934 P.2d 753 (Alaska 1997), the Alaska Supreme Court similarly recognized that shifts in a parent's income level are a classic basis for a finding of changed circumstances. Wesley's income increase is not temporary or attributable to a one-time event; it reflects a sustained change in Wesley's professional role and compensation, and it is appropriate for the court to treat Wesley's current project manager salary as the operative income figure for purposes of calculating adjusted annual income under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Peter Chapman v. Julia Chapman, 563 P.3d 1155 (Alaska 2025), the Alaska Supreme Court examined how courts should handle the income of a parent who may have stepped back from higher-earning responsibilities, and addressed whether imputation of potential income is appropriate when a parent's choices reduce reported earnings. Here, the opposite situation exists: Wesley's income has increased to a documented level, and no imputation is necessary. The court need only apply the Civil Rule 90.3(a)(1) adjusted income formula to Wesley's current earnings to arrive at the correct support baseline.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Change in Custodial Arrangement Constitutes an Independent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early 2024, the parenting plan was modified such that Tomas now exercises approximately 70 percent of custodial time and Wesley exercises approximately 30 percent. Under Civil Rule 90.3(f), a parent has primary physical custody when the children reside with that parent for more than 70 percent of the year as specified in the custody order. A parent has shared physical custody when the children reside with that parent for at least 30 but no more than 70 percent of the year. The 2024 modification placed Tomas at or above the upper boundary of shared custody and at or near the threshold for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Holmes v. Holmes, 414 P.3d 662 (Alaska 2018), the Alaska Supreme Court explained the relationship between physical custody classifications and the applicable child support calculation framework, confirming that shared-custody support under Civil Rule 90.3(b)(1) and primary-custody support under Civil Rule 90.3(a) rely on materially different formulas. Where, as here, the custody arrangement has shifted from a 50-50 shared schedule to one in which Tomas holds 70 percent of the custodial time, the entire framework for calculating support changes. Under the prior arrangement, both parties' incomes and respective custody percentages were factored into the support calculation. Under the current arrangement, Tomas's status as the parent with primary physical custody means that Wesley's adjusted annual income is multiplied by 27 percent for two children under Civil Rule 90.3(a)(2)(B), without the offsetting effect of Wesley's custody percentage that applied under the shared-custody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Bunn v. House, 934 P.2d 753 (Alaska 1997), the Alaska Supreme Court expressly recognized that a change in custodial or visitation patterns may constitute a material change of circumstances supporting modification of child support. The shift from equal shared custody to primary custody in Tomas's favor is precisely the type of change the court identified as a qualifying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Hixson v. Sarkesian, 123 P.3d 1072 (Alaska 2005), further establishes that the court must apply the correct Rule 90.3 methodology on remand or modification and may not apply a blended or improvised approach that does not conform to the formula specified by the rule. Now that Tomas holds primary physical custody, the court must apply Civil Rule 90.3(a) rather than the shared-custody formula, and must base the calculation on Wesley's current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Combination of Both Changes Compels Immediate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coincidence of two significant changes, specifically Wesley's income increase and the custodial shift, means that the support obligation calculated under the current correct formula will be substantially higher than the existing order. Swaney v. Granger, 297 P.3d 132 (Alaska 2013), confirms that child support calculations must conform to the analysis specified in Civil Rule 90.3(a) and that orders that do not so conform are subject to reversal. Allowing the 2021 order, which was premised on equal custody and lower income figures for both parties, to remain in place would produce a result inconsistent with Alaska's support guidelines and with the financial reality of the parties' current situation. The children's increased expenses under Tomas's primary care, including housing costs, childcare, and extracurricular activities, further underscore the inadequacy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25.20.919, the court must find that modification serves the best interests of the children. Here, the children reside primarily with Tomas and their day-to-day needs are met largely through Tomas's resources. An upward modification of child support to reflect Wesley's increased income ensures that both parents contribute to the children's support in proportion to their respective financial capacities and custodial roles. Requiring Wesley to contribute support calculated on the basis of current income and the current custody arrangement is plainly in the children's best interests. The children benefit directly when the support order accurately reflects the financial circumstances of the parent with the greater income and the lesser custodial burden.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RECALCULATE SUPPORT UNDER CIVIL RULE 90.3(a) BASED ON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requests that the court calculate Wesley's child support obligation using Civil Rule 90.3(a)(1) to determine Wesley's adjusted annual income and then applying the 27 percent multiplier under Civil Rule 90.3(a)(2)(B) appropriate for two children. The following framework should guide the court's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court should determine Wesley's total income from all sources, which the evidence will show is approximately $84,000 annually in salary from Wesley's project manager 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court should apply the mandatory and permissible deductions specified in Civil Rule 90.3(a)(1)(A) through (G) to arrive at Wesley's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court should multiply the resulting adjusted annual income by .27 to arrive at the annual child support obligation, and then divide by 12 to determine the monthly payment.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confirmed in Shanigan v. Shanigan, 386 P.3d 1238 (Alaska 2017), the Rule 90.3(a)(2)(B) formula is the required methodology for two children where one parent holds primary physical custody. The court has no discretion to depart from this formula absent a finding of good cause supported by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Wesley disputes the income figure or contends that any deductions should be applied, Tomas requests the opportunity to present documentary evidence, including Wesley's pay stubs, W-2 forms, and federal income tax returns, in support of the income figure. Tomas further requests that the court take judicial notice of the parties' existing support order and the 2024 custody modification order pursuant to Alaska R. Evid. 201(d).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ESTABLISH AN INCOME WITHHOLDING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entry of a new support order, AS 25.27.062(a) requires that the order contain an income withholding provision. Tomas requests that the court include an income withholding order directing Wesley's employer to withhold and remit the ordered child support amount to the Alaska Child Support Services Division. An income withholding order is mandatory upon the entry of a new or modified support order and will ensure reliable and consistent payment without requiring ongoing enforcement proceedings. AS 25.27.060(c) also requires the court to address medical support and health care insurance coverage for the children as part of any support order, and Tomas requests that the new order address each of those components in accordance with that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CONSIDER AN AWARD OF ATTORNEY FEES.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Tomas is proceeding in this action without counsel, Tomas respectfully notes that AS 25.20.115 authorizes the court, upon the request of a party, to award attorney fees and costs in an action to modify that part of an order providing for custody of a child or visitation with a child. The court must consider the relative financial resources of the parties and whether the parties have acted in good faith. To the extent Tomas incurs any recoverable costs in pursuing this motion, Tomas requests that the court take those considerations into account when resolving this matter.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Tomas Petrova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 material change of circumstances exists by virtue of Wesley Petrova's substantially increased income and the 2024 modification of the custodial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Recalculating child support pursuant to Alaska Civil Rule 90.3(a) based on Wesley's current adjusted annual income of approximately $84,000 and the two-child multiplier of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Entering a new child support order consistent with the parties' current financial circumstances and the revised custody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Including an income withholding order pursuant to AS 25.27.062 directing Wesley's employer to withhold and remit the ordered support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Addressing medical support and health care insurance coverage for the children pursuant to AS 25.27.060(c);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Granting such other and further relief as the Court deems just and equitable.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2026-08-17T02:18:34.188Z</dcterms:created>
  <dcterms:modified xsi:type="dcterms:W3CDTF">2026-08-17T02:18:34.188Z</dcterms:modified>
</cp:coreProperties>
</file>

<file path=docProps/custom.xml><?xml version="1.0" encoding="utf-8"?>
<Properties xmlns="http://schemas.openxmlformats.org/officeDocument/2006/custom-properties" xmlns:vt="http://schemas.openxmlformats.org/officeDocument/2006/docPropsVTypes"/>
</file>