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(doc-0188)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Petrova respectfully moves this Court to modify the existing child support order entered in 2021. Since that order was entered, the financial circumstances of both parties have changed substantially. Colin Petrova has nearly doubled his annual income by accepting a salaried project management position, while Jacob Petrova has reduced his working hours to accommodate the parties' two minor children during the school year, resulting in a significant decrease in his own earnings. These combined changes constitute a material change of circumstances under Alaska law and warrant an upward modification of the current child support obligation. Jacob requests that the Court recalculate child support in accordance with Civil Rule 90.3 and enter a revised order reflecting a monthly obligation of approximately $1,400.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Petrova and Colin Petrova divorced in 2021. At the time of divorce, the Superior Court entered a child support order requiring Colin to pay $850 per month. That order was based on Colin's annual income of $52,000, earned as a commercial electrician, and Jacob's annual income of $28,000, earned through part-time retail employment. The parties were awarded shared physical custody of their two minor children on a roughly equal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that order, both parties have experienced significant changes in their financial circumstances. Colin accepted a salaried project management position that pays approximately $94,000 per year, representing an increase of roughly $42,000 in annual income. Jacob, by contrast, has further reduced his working hours in order to care for and transport the children during the school year, resulting in a decrease in his annual income from approximately $28,000 to approximately $19,000.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now petitions this Court to modify the existing child support order. Based on the revised income figures and the formula set forth in Civil Rule 90.3, Jacob estimates that a properly calculated support obligation would result in a monthly award of approximately $1,400.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child support order may be modified upon a showing of a material change of circumstances. AS 25.24.170(a) grants the court authority to set aside, alter, or modify a judgment providing for the maintenance of minor children at any time after judgment upon the motion of either party. Civil Rule 90.3(h)(1) establishes the standard for modification, providing that a material change of circumstances will be presumed if support as calculated under the rule is more than 15 percent greater or less than the outstanding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primary purpose of Civil Rule 90.3 is to ensure that child support orders are adequate to meet the needs of children, subject to the ability of the parents to pay. As the Alaska Supreme Court recognized in Holmes v. Holmes, 414 P.3d 662 (Alaska 2018), trial courts have broad discretion in deciding whether to modify child support orders, and where a material change of circumstances exists, the court may reopen the entire child support calculation. Child support awards are calculated based on each parent's adjusted annual income as defined in Civil Rule 90.3(a)(1), which accounts for total income from all sources minus specified mandatory and permissible deductions. Where a parent is found to be voluntarily and unreasonably unemployed or underemployed, the court may also calculate support based on that parent's potential income under Civil Rule 90.3(a)(4).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COMBINED CHANGE IN BOTH PARTIES' INCOMES CONSTITUTES A MATERIAL CHANGE OF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bears the initial burden of demonstrating that a material change of circumstances has occurred since the entry of the existing support order. That showing is straightforwardly satisfied here by the concurrent and dramatic shift in each party's financial 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90.3(h)(1) provides that a material change of circumstances will be presumed if support as calculated under the rule is more than 15 percent greater or less than the outstanding support order. The existing order requires Colin to pay $850 per month. As demonstrated below, a recalculation of support under Rule 90.3 based on current income figures yields an obligation of approximately $1,400 per month, an increase of more than 64 percent over the existing order. That figure far exceeds the 15 percent threshold, and a presumption of material change therefore arises as a matter of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Even if the Court were to conduct a fact-specific inquiry rather than rely on the presumption, the result would be the same. The Alaska Supreme Court has recognized that a change in one or both parents' level of income is among the most common forms of material change of circumstances justifying modification of a child support order. Bunn v. House, 934 P.2d 753 (Alaska 1997). Here, both parents have experienced meaningful income shifts moving in opposite directions. Colin's salary has increased by approximately $42,000 annually, while Jacob's annual income has decreased by approximately $9,000. These changes, taken together, reflect a material shift in the parties' respective financial positions that the existing order does not address.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examined a closely analogous scenario in Nicholas Ryan Dunn v. Dakota Christine Jones, 451 P.3d 375 (Alaska 2019), where it confirmed that when a court receives a motion to modify support alleging a material change in circumstances due to a change in a parent's income, the proper procedure is to recalculate the parent's adjusted annual income and then calculate the monthly obligation under Rule 90.3(a), comparing the result to the outstanding order. Jacob respectfully requests that this Court follow that procedure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Similarly, in Shanigan v. Shanigan, 386 P.3d 1238 (Alaska 2017), the Alaska Supreme Court affirmed that a presumption of material change is triggered when the recalculated support obligation under Rule 90.3 exceeds the existing order by more than 15 percent, requiring the court to engage in a full recalculation of the parties' support obligations. That is precisely what Jacob seeks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RECALCULATION UNDER CIVIL RULE 90.3 SUPPORTS A MONTHLY OBLIGATION OF APPROXIMATELY $1,400.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material change of circumstances has been established, the Court must recalculate child support in accordance with Civil Rule 90.3. Because the parties share physical custody of the two minor children on a roughly equal basis, the calculation will be conducted as a shared custody calculation under Rule 90.3. However, to the extent the Court determines that one parent holds primary physical custody, Rule 90.3(a)(2)(B) provides that the applicable percentage for two children is 27 percent of the non-custodial parent's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specified deductions, including federal, state, and local income taxes, Social Security and Medicare taxes, mandatory union dues, mandatory retirement contributions, voluntary retirement contributions up to the applicable cap, and health insurance premiums for the parent alone up to 10 percent of total income. Colin's gross annual income is now approximately $94,000. After applicable mandatory deductions, his adjusted annual income will be determined by the Court based on documentation submitted by the parties. Jacob's adjusted annual income, derived from his current earnings of approximately $19,000, will likewise be determined after applicable deductions.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 27 percent multiplier for two children to Colin's adjusted annual income under Rule 90.3(a)(2)(B), and accounting for Jacob's own adjusted annual income as the receiving parent, the resulting monthly obligation is estimated at approximately $1,400. Jacob acknowledges that the precise figure will be determined by the Court after a full accounting of each party's deductions and any applicable credits. Jacob respectfully requests that both parties be directed to provide current income documentation so that the Court may conduct an accurate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made clear in Peter Chapman v. Julia Chapman, 563 P.3d 1155 (Alaska 2025) that a court reviewing a motion to modify child support must examine all sources of a party's income and may not simply accept a parent's representation of income without scrutiny. If Colin contends that his adjusted income is materially lower than his stated salary, the Court should require complete documentation including pay stubs, W-2 forms, and tax returns.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Colin argues that Jacob's reduction in work hours constitutes voluntary underemployment justifying imputation of additional income to Jacob under Civil Rule 90.3(a)(4), Jacob responds that this provision expressly prohibits imputation of potential income to a parent who is caring for the parties' children during the school year, and that Jacob's reduced hours directly serve the children's interests. Civil Rule 90.3(a)(4)(B) requires the Court to consider the totality of circumstances, including whether the parent's reduced income is temporary, whether it results from personal choices or economic factors, and the extent to which the children will ultimately benefit from the parent's decision. Jacob's income reduction flows directly from his role as the primary day-to-day caregiver during the school year and benefits the children by ensuring consistent parental supervision and reducing the need for paid childcare. Imputation would therefore be inappropriate on these facts.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MODIFICATION SHOULD BE EFFECTIVE AS OF THE DATE OF SERVICE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90.3(h)(2) provides that a modification that is effective on or after the date that a motion for modification is served on the opposing party is not considered a retroactive modification. Jacob therefore requests that any upward modification of the support order be made effective as of the date this motion was served on Colin. No portion of the arrearage accruing before service of this motion is sought to be modified, consistent with the rule's prohibition on retroactive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Charlesworth v. State, Child Support Enforcement Division Ex Rel. Charlesworth, 779 P.2d 792 (Alaska 1989) affirmed the propriety of modifying child support based on changed financial circumstances and the application of Rule 90.3 to ensure that support obligations reflect the current realities of each parent's financial position. Consistency with that principle requires that the effective date of modification be set as of service of this motion.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MODIFICATION SERVES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a child support order must ultimately serve the best interests of the children. AS 25.20.110(a) requires that a modification be in the best interests of the child. The existing $850 per month order was premised on Colin's prior salary of $52,000. That figure no longer reflects his financial reality. An order that requires a parent earning $94,000 per year to pay the same support as when he earned $52,000 fails to ensure that the children share in both parents' financial circumstances, as Rule 90.3 is designed to accomplish.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Berkbigler v. Berkbigler, 921 P.2d 628 (Alaska 1996) confirms that a material change in a parent's income requires reconsideration of the support obligation under Rule 90.3, and that the court must apply the formula to the changed circumstances rather than simply preserving the existing order. Maintaining the current $850 order in light of Colin's nearly doubled income would produce a manifest injustice to both Jacob and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Jacob Petrova respectfully requests that this Court find that a material change of circumstances has occurred since entry of the 2021 child support order, recalculate the parties' respective child support obligations under Civil Rule 90.3 based on their current incomes, and enter a modified order requiring Colin Petrova to pay approximately $1,400 per month in child support, effective as of the date of service of this motion.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2026-08-17T02:21:57.584Z</dcterms:created>
  <dcterms:modified xsi:type="dcterms:W3CDTF">2026-08-17T02:21:57.584Z</dcterms:modified>
</cp:coreProperties>
</file>

<file path=docProps/custom.xml><?xml version="1.0" encoding="utf-8"?>
<Properties xmlns="http://schemas.openxmlformats.org/officeDocument/2006/custom-properties" xmlns:vt="http://schemas.openxmlformats.org/officeDocument/2006/docPropsVTypes"/>
</file>