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respectfully petitions this Court for modification of the existing child support order entered approximately three years ago. The original order was premised on a shared physical custody arrangement in which both parties exercised equal, 50-50 custodial time and earned roughly comparable incomes. The circumstances underlying that order have changed substantially. Maria Sutter now earns approximately $112,000 per year following a significant career advancement, while Jacob Sutter continues to earn approximately $58,000 per year as a public school teacher. More significantly, the parties' actual custodial arrangement has shifted so that the children now reside primarily with Jacob Sutter, who exercises approximately 70 percent of the annual custodial time. Because Jacob Sutter now holds primary physical custody of the parties' two minor children under the applicable definitions, and because the income disparity between the parties is substantial, recalculation of child support under Civil Rule 967(a) is required. The current support order no longer reflects the financial realities of either party, nor does it reflect the custodial arrangement actually in place. Modification is both legally required and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and Maria Sutter are the parents of two minor children. Approximately three years ago, this Court entered a child support order based on the following factual circumstances: the parties exercised equal, shared physical custody of the children on a 50-50 basis, and both parties earned roughly comparable incomes. Under those circumstances, the Court calculated child support pursuant to Civil Rule 978(b), which governs shared physical custody arrangements.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that order was entered, two material changes have occurred. First, Maria Sutter accepted a promotion to regional sales manager and now earns approximately $112,000 per year. Jacob Sutter remains employed as a public school teacher and earns approximately $58,000 per year. The parties' incomes, once roughly comparable, are now substantially different.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custodial arrangement has changed significantly. Last spring, the parties reached an informal agreement shifting the primary residence of the children to Jacob Sutter during the school year. As a result, Jacob Sutter now exercises approximately 70 percent of the annual custodial time with the two minor children. Under Civil Rule 966(f), a parent with primary physical custody is one with whom the children reside for more than 70 percent of the year, while shared physical custody applies when a parent exercises at least 30 but no more than 70 percent of custodial time. Because Jacob Sutter's custodial time has reached or approached the upper boundary of shared custody and effectively represents primary custody in practical terms, the support calculation framework has shifted from Civil Rule 90.3(b) to Civil Rule 90.3(a), or at minimum requires a recalculation under the shared custody formula with substantially updated figures.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child support order does not account for either of these changes. Jacob Sutter now bears the greater share of the direct, day-to-day expenses of raising the children, yet the support order has not been updated to reflect this reality. Jacob Sutter therefore brings this petition seeking modification.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child support or custody award may be modified when the Court determines that a change in circumstances requires modification and that modification is in the best interests of the child. Similarly, AS 25.24.170(a) authorizes the Court, upon motion of either party, to set aside, alter, or modify a judgment providing for the maintenance of minor children at any time after the judgment is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child support specifically, Civil Rule 90.3 governs the calculation of support obligations. Civil Rule 90.3(a) applies when one parent holds primary physical custody, directing that the support award equal the adjusted annual income of the non-custodial parent multiplied by a specified percentage. For two children, that percentage is 27 percent. Civil Rule 90.3(b) applies in cases of shared, divided, or hybrid custody and uses a more complex formula accounting for the incomes of both parents and the percentage of custodial time exercised by each.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child support is triggered upon a showing of a material change in circumstances. As confirmed by the Alaska Supreme Court in Shanigan v. Shanigan, 386 P.3d 1238 (Alaska 2017), a material change of circumstances is presumed when support recalculated under the applicable rule differs by more than 15 percent from the outstanding support order. The Court in Nicholas Ryan Dunn v. Dakota Christine Jones, 451 P.3d 375 (Alaska 2019), further confirmed that when a motion to modify alleges a material change in circumstances due to a change in a parent's income or deductions, the Court must recalculate the parent's adjusted annual income, calculate the monthly child support obligation based on updated figures, and compare that figure to the outstanding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addressed the threshold between shared and primary custody. In Charlesworth v. State, Child Support Enforcement Division Ex Rel. Charlesworth, 779 P.2d 792 (Alaska 1989), the Court clarified that shared or joint physical custody applies only when the children reside with a parent for a specified period of at least the minimum threshold set forth in Civil Rule 90.3(f). When actual custodial time has shifted beyond that threshold, the correct support calculation framework changes accordingly.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A MATERIAL CHANGE IN CIRCUMSTANCES EXISTS AND WARRANTS MODIFICATION OF THE EXISTING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provides that an award of custody or visitation "may be modified if the court determines that a change in circumstances requires the modification of the award and the modification is in the best interests of the child." AS 25.24.170(a) likewise authorizes the Court to modify support provisions of a judgment at any time on the motion of either party. Both provisions support Jacob Sutter's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two independent and significant changes have occurred since the entry of the original order. Maria Sutter's income has increased substantially, from a figure roughly comparable to Jacob Sutter's to approximately $112,000 per year. Jacob Sutter continues to earn approximately $58,000 per year. This income disparity alone constitutes a material change sufficient to trigger modification. As recognized in Shanigan v. Shanigan, 386 P.3d 1238 (Alaska 2017), a material change of circumstances is presumed when recalculated support differs from the outstanding order by more than 15 percent. Given the magnitude of the income shift between the parties, that threshold will almost certainly be satisfied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and independently, the custodial arrangement has changed materially. The original order was premised on a 50-50 shared custody schedule. Jacob Sutter now exercises approximately 70 percent of the annual custodial time. This shift, from equal time to predominant primary residency with Jacob Sutter, is itself a significant change in the circumstances underlying the original support calculation. As the Alaska Supreme Court recognized in Holmes v. Holmes, 414 P.3d 662 (Alaska 2018), child support for parents with shared physical custody is calculated differently from support when one parent holds primary physical custody, and the distinction turns directly on the percentage of time each parent has physical custody of the children. The shift from a 50-50 schedule to a 70-30 schedule is not a marginal adjustment; it crosses into territory that, under Civil Rule 90.3(f), may trigger the primary custody calculation framework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Together, the income disparity and the custodial shift constitute more than sufficient grounds for modification. The Court should find that a material change in circumstances has occurred and that modification is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CORRECT CALCULATION FRAMEWORK IS CIVIL RULE 90.3(a), WHICH REQUIRES MARIA SUTTER TO PAY SUPPORT AS THE NON-CUSTODIAL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that "a child support award in a case in which one parent is awarded sole physical custody as defined by paragraph (f) will be calculated as an amount equal to the adjusted annual income of the non-custodial parent multiplied by a percentage specified in subparagraph (a)(2)." For two children, Civil Rule 90.3(a)(2)(B) specifies a percentage of 27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now exercises approximately 70 percent of annual custodial time with the parties' two minor children. Under Civil Rule 90.3(f), a parent has primary physical custody when the children reside with that parent for more than 70 percent of the year, and shared physical custody applies when a parent has the children for at least 30 but no more than 70 percent. Jacob Sutter's 70 percent custodial share places him at or above the upper boundary of shared custody and the threshold for primary custody. Under these circumstances, Civil Rule 90.3(a) governs, and Maria Sutter, as the non-custodial parent, is the obligor.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determines that the 70-percent figure places Jacob Sutter precisely at the threshold between shared and primary custody such that Civil Rule 90.3(b) still technically applies, the recalculation under the shared custody formula of Civil Rule 90.3(b)(1) nonetheless compels a substantially higher support obligation from Maria Sutter. Civil Rule 90.3(b)(1) requires calculating what each parent would pay the other under Civil Rule 90.3(a) assuming the other parent had primary custody, then multiplying each figure by the percentage of time the other parent exercises custody, and awarding the difference multiplied by 1.5 to the parent with the higher resulting figure. Given the disparity between Maria Sutter's adjusted annual income of approximately $112,000 and Jacob Sutter's of approximately $58,000, and given that Jacob Sutter exercises the greater share of custody, Maria Sutter will owe a significant net support obligation under either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confirmed in Marine v. Marine, 957 P.2d 314 (Alaska 1998), the court has authority under Civil Rule 90.3(b) to vary the percentages used in the child support calculation when the percentage of custodial time does not accurately reflect the ratio of funds each parent directly spends on the children. Here, Jacob Sutter's predominant share of daily custodial responsibility means he bears a disproportionate share of the children's direct expenses, further supporting an award calibrated to reflect that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guidance in Nicholas Ryan Dunn v. Dakota Christine Jones, 451 P.3d 375 (Alaska 2019), makes clear that when a material change is alleged due to a change in income, the Court must recalculate adjusted annual income and compare the resulting obligation to the outstanding order. Jacob Sutter respectfully requests that the Court perform this calculation using the updated income figures for both parties and the current custodial schedule.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ADJUSTED ANNUAL INCOME CALCULATION SHOULD REFLECT CURRENT INCOME FIGURES FOR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certain enumerated deductions, including mandatory deductions such as federal, state, and local income tax, Social Security tax, medicare tax, mandatory union dues, and mandatory contributions to retirement or pension plans, as well as allowable voluntary retirement contributions, child or spousal support from prior relationships, work-related child care expenses, and health insurance premiums subject to the stated caps.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Sutter's gross annual income is approximately $112,000. Jacob Sutter's gross annual income is approximately $58,000. Both figures are subject to the deductions enumerated in Civil Rule 90.3(a)(1)(A) through (G). Jacob Sutter, as a public school teacher, may be subject to mandatory contributions to a public pension plan that qualify for deduction under Civil Rule 90.3(a)(1)(A)(v). The Court should direct both parties to submit updated financial affidavits, commonly referred to as DR-305 forms, reflecting current income and allowable deductions, so that adjusted annual income figures can be calculated accurately.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adjusted annual income figures are established, the child support obligation is determined by multiplying Maria Sutter's adjusted annual income by 27 percent, the applicable percentage for two children under Civil Rule 90.3(a)(2)(B). The result will represent the annual support obligation, to be divided into 12 equal monthly installments. As recognized in Shanigan v. Shanigan, 386 P.3d 1238 (Alaska 2017), the 27-percent multiplier applies directly to the adjusted annual income of the non-custodial parent when two children are involved.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Richardson v. Kohlin, 175 P.3d 43 (Alaska 2008), further confirms that when a support modification is triggered by a change in employment or income, the Court must apply the Rule 90.3 calculation to the parent's updated income and compare the result to the outstanding order to confirm the 15-percent material change threshold is satisfied. That process is straightforwardly applicable here.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requires not only a change in circumstances, but also a determination that modification is in the best interests of the child. Here, modification serves the children's best interests for several reasons.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Jacob Sutter now bears the primary financial and caregiving burden for the two minor children. He provides housing, food, transportation, school-related expenses, and day-to-day support during approximately 70 percent of the year. The current support order, calculated on the assumption of equal time and comparable incomes, no longer reflects this reality and leaves Jacob Sutter financially undercompensated for his role as the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Maria Sutter's substantially increased income means she has a correspondingly greater financial capacity to contribute to the children's support. A support award calibrated to her current income ensures that the children benefit proportionally from both parents' financial resources, regardless of which household they primarily occupy at a given time. Child support under Civil Rule 90.3 is explicitly designed to apportion support obligations based on income and custodial time, ensuring that children receive an appropriate share of each parent's economic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Kelly v. Joseph, 46 P.3d 1014 (Alaska 2002), confirms that when custody arrangements shift, child support must be recalculated to align with the new custodial framework. Allowing the existing order to remain in place when the underlying assumptions have changed materially would result in a windfall to Maria Sutter and an inequitable burden on Jacob Sutter, to the detriment of the children who depend on accurate and current support arrangements.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THIS COURT RETAINS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25.30.310(a) provides that a court of this state that has made a child custody determination retains exclusive, continuing jurisdiction over that determination until either a court of this state determines that neither the child, the child and one parent, nor a person acting as a parent have a significant connection with this state and that substantial evidence is no longer available in this state, or a court determines that neither the child, a parent, nor a person acting as a parent presently resides in this state. Both parties and the children reside in Alaska. This Court therefore retains exclusive, continuing jurisdiction over the custody and support determination and is the proper forum for this modification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AS 25.25.205(a) provides that a tribunal of this state that has issued a child support order consistent with the law of this state has and shall exercise continuing, exclusive jurisdiction to modify its child support order if the order is the controlling order and at least one of the parties, or the child, resides in this state at the time of filing. Jacob Sutter and the children reside in Alaska, and the original support order was entered by this Court. This Court therefore has both the authority and the obligation to exercise jurisdiction over Jacob Sutter's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respectfully requests that this Court grant his petition to modify the existing child support order. A material change in circumstances has occurred: Maria Sutter's income has increased substantially to approximately $112,000 per year, Jacob Sutter earns approximately $58,000 per year, and the custodial arrangement has shifted so that Jacob Sutter now exercises approximately 70 percent of annual custodial time with the parties' two minor children. These changes, taken individually or together, compel recalculation of support under Civil Rule 90.3(a), with Maria Sutter as the obligor and a support obligation calculated at 27 percent of her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asks this Court to: (1) find that a material change in circumstances has occurred under AS 25.20.110(a) and AS 25.24.170(a); (2) order both parties to submit updated DR-305 financial affidavits within a time period set by the Court; (3) recalculate child support pursuant to Civil Rule 90.3(a) based on current adjusted annual income figures and the current custodial schedule; (4) enter a new support order directing Maria Sutter to pay monthly child support consistent with the updated calculation; and (5) make such other and further relief as the Court deems just and proper in the best interests of the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2026-08-17T02:23:22.354Z</dcterms:created>
  <dcterms:modified xsi:type="dcterms:W3CDTF">2026-08-17T02:23:22.354Z</dcterms:modified>
</cp:coreProperties>
</file>

<file path=docProps/custom.xml><?xml version="1.0" encoding="utf-8"?>
<Properties xmlns="http://schemas.openxmlformats.org/officeDocument/2006/custom-properties" xmlns:vt="http://schemas.openxmlformats.org/officeDocument/2006/docPropsVTypes"/>
</file>