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("Petitioner") respectfully petitions this Court for modification of the existing child support order entered approximately two years ago. The existing order was calculated using Respondent Jennifer Bergstrom's former annual income of $52,000, an income level that no longer reflects Jennifer's actual financial circumstances following a layoff and subsequent lower-paying re-employment at approximately $38,000 per year. Because Jennifer's income has decreased by more than $14,000 annually, and because the parties' two minor children have incurred increased financial needs in the areas of medical care and extracurricular activities, a substantial and material change in circumstances has occurred. Modification of the existing order is both legally compelled and necessary to serve the best interests of the parties' children. Petitioner accordingly requests that this Court enter a new support order calculated in accordance with Civil Rule 90.3(a), using each party's current income and the existing custody allocation under which Ashley holds primary physical custody approximately 70 percent of the time.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and Jennifer Bergstrom are the parents of two minor children, currently aged 7 and 10. The parties have an existing custody arrangement under which Ashley exercises primary physical custody of both children for approximately 70 percent of the year. Jennifer has physical custody for the remaining approximately 30 percent of the year. Consistent with this arrangement, Jennifer is the obligor parent for purposes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years ago, this Court entered a child support order based upon Jennifer's then-current gross annual income of approximately $52,000 per year. At that time, Jennifer was employed in a position reflecting that income level, and the support calculation under Civil Rule 90.3(a) was appropriately grounded in that figure.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existing order, Jennifer experienced a layoff from her prior position. Following her period of unemployment, she secured re-employment as an administrative assistant earning approximately $38,000 per year. This figure represents a reduction of approximately $14,000, or roughly 27 percent, from the income figure used to calculate the existing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currently earns approximately $62,000 per year as a registered nurse in Anchorage. Ashley provides the primary day-to-day care for the two children, bearing the predominant share of expenses for food, clothing, shelter, medical care, and extracurricular activities. The children's financial needs have grown since the prior order was entered. Both children now participate in extracurricular activities that generate recurring costs. Additionally, the children have incurred ongoing medical and dental expenses that were not fully accounted for under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support order has not been modified or adjusted since it was entered approximately two years ago.</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an existing child support order upon a showing that a material change in circumstances has occurred. AS 25.24.170(a) authorizes the court, at any time after judgment and upon the motion of either party, to set aside, alter, or modify so much of a judgment as provides for the maintenance of either party or the care, nurture, and education of the minor children of the marriage. AS 25.27.190(e) further provides that modification of future periodic support payments may be ordered upon a showing of good cause and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child support matters governed by Civil Rule 90.3, the Alaska Supreme Court has recognized that a significant change in either parent's income constitutes a material change in circumstances sufficient to justify modification. Bunn v. House, 934 P.2d 753 (Alaska 1997). Specifically, Alaska courts have applied the principle that a change in income resulting in a difference of 15 percent or more from the support amount that would be produced under the current formula constitutes a material change.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material change in circumstances is established, the court calculates a new support obligation using the current income of both parents and the applicable custody arrangement. Civil Rule 90.3(a) governs cases in which one parent holds primary physical custody, defined as the child residing with that parent for more than 70 percent of the year. Under that rule, the non-custodial parent's adjusted annual income is multiplied by the applicable percentage based on the number of children to determine the annual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Potential income may be imputed to a parent who is voluntarily and unreasonably unemployed or underemployed. Civil Rule 90.3(a)(4). However, where a parent's reduction in income results from a layoff and subsequent re-employment at market-rate wages, imputation is generally not appropriate. Flannery v. Flannery, 950 P.2d 126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 remain paramount in all support determinations. AS 25.24.150(c). The obligation of each parent to contribute to the financial support of the parties' children is not diminished simply because the children's existing needs are being met at a current level. State, Child Support Enforcement Division v. Bromley, 987 P.2d 183 (Alaska 1999).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the Existing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modification proceeding is whether a material change in circumstances has occurred since the entry of the existing order. AS 25.24.170(b) provides that the adoption of guidelines or a significant amendment to guidelines constitutes a material change, but Alaska courts have more broadly recognized that a substantial shift in either parent's income satisfies this standard. In the present case, Jennifer's annual income has declined from approximately $52,000 to approximately $38,000, a reduction of approximately 27 percent. This reduction directly affects the support calculation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when application of the current guidelines formula to updated income figures produces a support amount that differs by 15 percent or more from the existing order, a material change in circumstances exists. Bunn v. House, 934 P.2d 753 (Alaska 1997). Here, applying the Civil Rule 90.3(a) percentage for two children, which is 27 percent, to Jennifer's adjusted annual income of approximately $38,000 yields a result that is substantially different from the amount produced by applying that same percentage to her prior income of $52,000. The difference exceeds the 15 percent threshold recognized in Alaska case law. Modification is therefore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children's financial circumstances have evolved since the prior order was entered. Both children now incur ongoing extracurricular and medical expenses that were not fully reflected in the original order. The Alaska Supreme Court has emphasized that as children's needs grow and as parental circumstances change, courts are obligated to ensure that support awards reflect those realities. Headlough v. Headlough, 639 P.2d 1010 (Alaska 1982). These increased needs independently support a finding of material change sufficient to justify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New Support Obligation Should Be Calculated Using Jennifer's Actual Current Income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exercises primary physical custody of the two children for approximately 70 percent of the year, Civil Rule 90.3(a) governs the support calculation. Under that rule, the annual support obligation is determined by multiplying the non-custodial parent's adjusted annual income by the applicable percentage. For two children, that percentage is 27 percent, as set forth in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Adjusted annual income under Civil Rule 90.3(a)(1) means the parent's total income from all sources minus mandatory deductions, including federal, state, and local income tax; Social Security tax; Medicare tax; mandatory union dues; and mandatory retirement contributions. Voluntary retirement contributions are also deductible, subject to the cap set out in the rule. Jennifer's adjusted annual income must be calculated based on her current gross income of approximately $38,000, reduced by her applicable mandatory deductions, to arrive at her adjusted annual income for support purposes.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was premised on Jennifer's prior income of $52,000. Using that figure today would produce a support obligation that does not reflect Jennifer's actual earning capacity or actual income, which is both inequitable and inconsistent with the requirements of Civil Rule 90.3(a). The Alaska Supreme Court has held that support obligations must be grounded in parents' current financial realities rather than in outdated figures that no longer correspond to present circumstances. Wilhour v. Wilhour, 308 P.3d 884 (Alaska 2013). Calculating Jennifer's obligation using her actual current income is therefore both legally required and equitable.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Imputation of Income to Jennifer Is Not Appropriate Because Her Reduced Earnings Result From Involuntary Layoff and Subsequent Market-Rate Re-Employment.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authorizes the court to calculate support based on a determination of potential income when a parent voluntarily and unreasonably is unemployed or underemployed. However, this provision is not intended to penalize parents whose income has declined through no fault of their own. The Alaska Supreme Court has recognized that where a reduction in income results not from a voluntary personal choice but from economic circumstances such as a layoff, courts should not reflexively impute higher income to the obligor. Flannery v. Flannery, 950 P.2d 126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Jennifer did not voluntarily reduce her income. She was laid off from her prior position and subsequently secured re-employment at the wage level available to her in the current Anchorage market for administrative assistants. Her current earnings of approximately $38,000 reflect market-rate compensation for her skills and position. There is no basis in the record to conclude that Jennifer is deliberately avoiding higher-paying work or that she is working below her capacity for personal reasons unrelated to economic realities. Under these circumstances, imputing Jennifer's prior income of $52,000 for support calculation purposes would be contrary to the governing rule and inconsistent with the Alaska Supreme Court's guidance in Flannery v. Flannery, 950 P.2d 126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Jennifer presents evidence that her reduction in income is only temporary, this Court should evaluate that claim carefully against the full record. The Alaska Supreme Court has noted that courts may examine whether a reduction in income is temporary in nature when determining whether to use a parent's current versus prior earnings. Wilhour v. Wilhour, 308 P.3d 884 (Alaska 2013). However, a bare assertion that income may recover in the future, unsupported by specific evidence, does not justify the continued use of an outdated income figure. Peter Chapman v. Julia Chapman, 563 P.3d 1155 (Alaska 2025). Because Jennifer's current employment appears to represent her reasonably available market-rate income, Petitioner respectfully requests that this Court use Jennifer's actual current income of approximately $38,000 in calculating the modified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Modified Order Should Account for the Children's Increased Medical and Extracurricular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25.27.060(c) requires that any support order address the health care needs of the children, including health insurance coverage and allocation of uncovered medical expenses. That statute provides that the court or agency shall allocate equally the cost of health care insurance for the child between the parents unless there is good cause to allocate the costs unequally, and that the court or agency shall allocate equally between the parents the cost of reasonable health care expenses not covered by private insurance unless there is good cause to allocate the costs unequally.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children have incurred ongoing medical and dental expenses not fully covered by insurance. Under AS 25.27.060(c), the court is required to address these expenses in any support order. Petitioner respectfully requests that the modified order include a provision requiring Jennifer to contribute her equal share of the children's reasonable uncovered health care expenses, consistent with the statutory mandate.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both children participate in extracurricular activities that generate recurring costs. While the Civil Rule 90.3(a) formula is designed to capture ordinary expenses associated with raising children, the court retains discretion under Civil Rule 90.3(c)(1) to vary from the formula in unusual circumstances. To the extent the children's extracurricular costs are substantial and ongoing, Petitioner may present evidence supporting a departure from the formula amount, or alternatively may request that the extracurricular costs be addressed as part of the overall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recognized that a child's right to support is commensurate with the parents' combined financial capacity, and that as circumstances change, the support award must be updated to ensure that the children's needs are adequately met. State, Child Support Enforcement Division v. Bromley, 987 P.2d 183 (Alaska 1999). The children's increased financial needs since the prior order was entered, combined with the change in Jennifer's income, compel a comprehensive modification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Modification Should Be Entered as a New Order Pursuant to AS 25.27.060 and Civil Rule 90.3(a), With an Income Withholding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new support order entered by this Court should contain an income withholding provision consistent with AS 25.27.062. That statute requires that any judgment or court order providing for support must contain an income withholding order, and provides for immediate income withholding where the support order is issued or modified on or after July 8, 1994. AS 25.27.062(a). Including an income withholding provision in the modified order will ensure consistent and timely payment of support to the benefit of the parties'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25.20.110(b) further provides that in proceedings relating to custody and support, the court shall consider the past history of the parents with respect to compliance with child support payment provisions. Petitioner does not allege that Jennifer has willfully failed to comply with the existing order. However, given the changed financial circumstances on both sides, a modified order with built-in income withholding mechanisms will protect the children's financial interests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Ashley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based on Jennifer Bergstrom's substantial reduction in income from approximately $52,000 to approximately $38,000 per year, and the children's increased medical and extracurricular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modified child support order calculated under Civil Rule 90.3(a) using Jennifer Bergstrom's current adjusted annual income of approximately $38,000 per year, applied at the 27 percent rate applicable to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Decline to impute Jennifer Bergstrom's prior income, as her current earnings reflect the result of an involuntary layoff and subsequent market-rate re-employment rather than voluntary underemployment;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 in the modified order a provision requiring equal allocation of the children's reasonable uncovered medical and dental expenses consistent with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 a mandatory income withholding provision in the modified order consistent with AS 25.27.062;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in the best interests of the parties'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2026-08-17T02:26:53.980Z</dcterms:created>
  <dcterms:modified xsi:type="dcterms:W3CDTF">2026-08-17T02:26:53.980Z</dcterms:modified>
</cp:coreProperties>
</file>

<file path=docProps/custom.xml><?xml version="1.0" encoding="utf-8"?>
<Properties xmlns="http://schemas.openxmlformats.org/officeDocument/2006/custom-properties" xmlns:vt="http://schemas.openxmlformats.org/officeDocument/2006/docPropsVTypes"/>
</file>