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(doc-0192)</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Sutter brings this motion to modify the existing child support order entered in 2021. Two independent material changes in circumstances compel recalculation of the current support obligation. First, Brandon Sutter's annual income has increased from $52,000 to approximately $81,000, representing a rise of roughly 56 percent over his income at the time of the existing order. Second, the actual physical custody arrangement has shifted materially from the shared custody schedule reflected in the existing order, with the children now residing with Jacob Sutter approximately 70 percent of the time. Each of these changes, standing alone, constitutes a material change in circumstances warranting modification. Together, they demand that the court recalculate child support under Civil Rule 90.3 to reflect current financial and custodial reality. The children's right to adequate support from both parents depends upon orders that accurately reflect the parties' actual incomes and living arrangements. Jacob Sutter respectfully requests that this court modify the existing child support order accordingly.</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Sutter and Brandon Sutter divorced in 2021. At the time of the divorce, the court entered a child support order for the parties' two minor children. That order was based on Brandon Sutter's annual income of $52,000 as a commercial electrician and Jacob Sutter's annual income of $38,000 as a retail manager. Because the parties shared physical custody of the two children on a roughly equal basis at the time, the court calculated support under the shared physical custody formula set forth in Civil Rule 90.3(b).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entry of that order, two significant changes have occurred. First, Brandon Sutter has accepted a new position as a project supervisor at an annual salary of approximately $81,000. This increase of approximately $29,000 per year represents a rise of more than 55 percent over his 2021 income. Brandon's current income is substantially higher than the income figure on which the existing support order is based.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and independently, the informal custody arrangement between the parties has shifted so that the children now reside primarily with Jacob Sutter approximately 70 percent of the time. Although no formal modification of the parenting plan has been entered by the court, this shift in the actual day-to-day living arrangement is well-established and ongoing. Jacob Sutter's income has remained relatively stable at approximately $40,000 annually.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the existing order was calculated under the shared custody formula based on outdated income figures and a custody arrangement that no longer reflects reality, a modification is necessary to serve the best interests of the children and to comply with Alaska's child support guidelines.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a court may modify an award of custody or visitation if it determines that a change in circumstances requires the modification and the modification is in the best interests of the child. A court considering modification of a child support obligation must find a material change in circumstances as a prerequisite to recalculating the obligation. See AS 25.24.170(a).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 governs the calculation of child support in Alaska. Where one parent has primary physical custody, support is calculated under Civil Rule 90.3(a), which provides that the award equals the non-custodial parent's adjusted annual income multiplied by a percentage determined by the number of children. For two children, that percentage is 27 percent. Civil Rule 90.3(a)(2)(B). Where parents share physical custody, meaning each parent has the children for at least 30 but no more than 70 percent of the year, support is calculated under the shared custody formula in Civil Rule 90.3(b)(1), which takes into account the incomes of both parents and the actual percentage of custody time each parent exercises.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material change in circumstances is presumed to exist when recalculation of support under Civil Rule 90.3 would produce an amount more than 15 percent greater or less than the current order. Shanigan v. Shanigan, 386 P.3d 1238 (Alaska 2017). The Alaska Supreme Court has recognized that retroactive modification of child support is prohibited, and that courts must perform the Rule 90.3 analysis correctly, including applying the proper formula for the custody arrangement actually in place. Swaney v. Granger, 297 P.3d 132 (Alaska 2013). Courts have also confirmed that the distinction between primary and shared physical custody directly controls which formula applies and, therefore, directly affects the amount of the support obligation. Holmes v. Holmes, 414 P.3d 662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90.3(a)(4), the court may calculate child support based on a determination of the potential income of a parent who voluntarily and unreasonably is unemployed or underemployed. Courts are also empowered to consider all sources of income and to make appropriate deductions in computing adjusted annual income. Civil Rule 90.3(a)(1).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is required to take judicial notice of any matter specified in Alaska R. Evid. 201(b) upon request of a party, provided that the requesting party furnishes sufficient information and has given each party notice adequate to enable the party to meet the request. Alaska R. Evid. 201(d).</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Brandon Sutter's Substantially Increased Income Constitutes a Material Change in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existing child support order was premised on Brandon Sutter's annual income of $52,000. Brandon Sutter now earns approximately $81,000 annually in his position as a project supervisor. This increase of approximately $29,000 per year represents a rise of more than 55 percent. Under Civil Rule 90.3(a)(1), adjusted annual income is the parent's total income from all sources minus specific mandatory and permissible deductions. A straightforward application of the rule to Brandon's current gross income of $81,000, even after applicable deductions, will produce a support figure that is substantially higher than the amount calculated from his prior $52,000 income, and that difference will far exceed 15 percent of the current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the Alaska Supreme Court recognized in Shanigan v. Shanigan, 386 P.3d 1238 (Alaska 2017), a material change in circumstances is presumed when recalculated support under Civil Rule 90.3 differs from the existing order by more than 15 percent. Because Brandon Sutter's income has grown by more than half since the existing order was entered, this presumption is easily satisfied. The children are entitled to support that reflects their parents' current financial circumstances, and the existing order no longer accomplishes that objective.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the court in Bunn v. House, 934 P.2d 753 (Alaska 1997), recognized that courts must correctly apply the Rule 90.3 formula using current income data. Adherence to an outdated support figure, when a parent's income has materially increased, is inconsistent with the children's right to adequate support and with the purpose of the guidelines. Jacob Sutter respectfully submits that Brandon Sutter's current income of approximately $81,000 must serve as the basis for any recalculation.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90.3(a)(2)(B), because the parties have two minor children, the applicable percentage of the non-custodial parent's adjusted annual income is 27 percent. Even applying conservative deductions, Brandon Sutter's adjusted annual income at $81,000 gross will result in a child support obligation significantly higher than that produced by his prior $52,000 gross income. Jacob Sutter requests that the court conduct the full Rule 90.3 analysis using current income documentation, which Brandon Sutter should be required to produce.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Material Shift in Physical Custody Independently Constitutes a Material Change in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existing child support order was calculated using the shared physical custody formula under Civil Rule 90.3(b)(1), based on the parties exercising roughly equal custody time. The actual custody arrangement has shifted materially. The children now reside with Jacob Sutter approximately 70 percent of the time. This means the arrangement no longer qualifies as shared physical custody under the applicable rules.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the Alaska Supreme Court explained in Holmes v. Holmes, 414 P.3d 662 (Alaska 2018), a parent has shared physical custody when the children reside with that parent for a period specified in writing in the custody order of at least 30, but no more than 70, percent of the year. Where one parent has the children 70 percent of the time, the arrangement crosses the threshold from shared into primary physical custody. Under those circumstances, the correct formula is Civil Rule 90.3(a), not Civil Rule 90.3(b)(1). The formulas produce materially different results, and applying the wrong formula, as the current order effectively does, yields an inaccurate support figure.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90.3(b)(1)(E) itself provides that failure to exercise sufficient physical custody to qualify for shared physical custody under the rule is grounds for modification of the child support order. Here, Brandon Sutter no longer exercises the level of custody time that formed the basis for the shared custody calculation in the existing order. The children reside primarily with Jacob Sutter. That shift, standing alone, is a sufficient ground for modification and for recalculation under Civil Rule 90.3(a) rather than Civil Rule 90.3(b)(1).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90.3(a)(2)(B), if Jacob Sutter is recognized as the primary physical custodian of the two minor children, the court must calculate support as 27 percent of Brandon Sutter's adjusted annual income. At an adjusted annual income derived from $81,000 gross, this formula will produce a substantially higher monthly support obligation than the current order, properly reflecting both Brandon's increased earnings and Jacob's role as primary caregiver.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in Swaney v. Granger, 297 P.3d 132 (Alaska 2013), vacated a support modification precisely because the lower court had failed to apply the Rule 90.3(a) analysis correctly. Jacob Sutter urges this court to avoid the same error by carefully applying the correct formula to the actual custodial arrangement in place, not the arrangement that existed at the time of the original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Combined Effect of Both Changes Compels Immediate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Sutter submits that both changed circumstances exist simultaneously and that their combined effect makes the case for modification especially compelling. The existing order simultaneously understates the non-custodial parent's income and applies a formula designed for equal custody to a situation that is now one of primary physical custody with Jacob Sutter. The result is an order that systematically underestimates the support owed to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25.24.170(a), the court may, upon the motion of either party, modify so much of a prior judgment as relates to child support. Jacob Sutter brings this motion under that authority, supported by the material changes in circumstances detailed above. The modification Jacob Sutter seeks is consistent with AS 25.20.110(a), which requires that any modification be in the best interests of the child. Children benefit when the court's support orders accurately reflect the financial resources of both parents and the reality of how the children's time is distributed. Both factors now favor a higher support obligation from Brandon Sutter to Jacob Sutter.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recognized in Richardson v. Kohlin, 175 P.3d 43 (Alaska 2008), the 15 percent threshold test under Civil Rule 90.3 is the standard benchmark for determining whether a material change in circumstances exists for purposes of child support modification. Here, the 15 percent threshold is satisfied by the income change alone, and independently satisfied by the custody shift alone. Taken together, the grounds for modification are overwhelming.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Order Prospective Modification Effective as of the Date of This Motion.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prohibits retroactive modification of child support. Swaney v. Granger, 297 P.3d 132 (Alaska 2013). Jacob Sutter does not seek retroactive modification and understands that the modified support obligation will operate prospectively from the date of this motion or such other date as the court deems appropriate. Jacob Sutter requests that the court enter a new support order as promptly as practicable to ensure that the children receive the support to which they are entitled going forward.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also note that AS 25.27.060(c) authorizes the court to order either parent or both parents to pay the amount necessary for support, maintenance, nurture, and education of the child, and AS 25.27.062(a) requires that any new support order contain an income withholding order to ensure consistent payment. Jacob Sutter requests that any modified order include the income withholding provision required by AS 25.27.062(a) so that compliance is assured.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Court Should Take Judicial Notice of the Existing Order and Prior Income Findings.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Sutter requests, pursuant to Alaska R. Evid. 201(d), that the court take judicial notice of the existing child support order entered in 2021 and the income findings contained therein. Those findings establish the baseline from which the material change in Brandon Sutter's income is measured. Jacob Sutter has provided adequate notice of this request through the filing of this motion, and will furnish sufficient information to support the request at or before the hearing on this matter.</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all of the foregoing reasons, Jacob Sutter respectfully requests that this court enter an order granting the following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Finding that a material change in circumstances has occurred based on Brandon Sutter's substantial increase in annual income from $52,000 to approximately $81,000;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Finding that a material change in circumstances has independently occurred based on the shift in physical custody, with the children now residing primarily with Jacob Sutter approximately 70 percent of the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Recalculating the child support obligation under Civil Rule 90.3(a) using Brandon Sutter's current adjusted annual income and applying the 27 percent multiplier applicable to two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Entering a modified child support order effective as of the date of this motion, consistent with the prohibition on retroactive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Including in the modified order an income withholding provision as required by AS 25.27.062(a);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Granting such other and further relief as the court deems just and proper.</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2026-08-17T02:28:13.315Z</dcterms:created>
  <dcterms:modified xsi:type="dcterms:W3CDTF">2026-08-17T02:28:13.315Z</dcterms:modified>
</cp:coreProperties>
</file>

<file path=docProps/custom.xml><?xml version="1.0" encoding="utf-8"?>
<Properties xmlns="http://schemas.openxmlformats.org/officeDocument/2006/custom-properties" xmlns:vt="http://schemas.openxmlformats.org/officeDocument/2006/docPropsVTypes"/>
</file>